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6613" w14:textId="77777777" w:rsidR="00A5788B" w:rsidRPr="005A3622" w:rsidRDefault="00A5788B" w:rsidP="00A5788B">
      <w:pPr>
        <w:pStyle w:val="Title"/>
        <w:rPr>
          <w:rFonts w:ascii="Arial" w:hAnsi="Arial" w:cs="Arial"/>
          <w:sz w:val="20"/>
          <w:szCs w:val="20"/>
        </w:rPr>
      </w:pPr>
    </w:p>
    <w:p w14:paraId="2F6B6614" w14:textId="77777777" w:rsidR="00A5788B" w:rsidRPr="005A3622" w:rsidRDefault="00A5788B" w:rsidP="00A5788B">
      <w:pPr>
        <w:pStyle w:val="Title"/>
        <w:rPr>
          <w:rFonts w:ascii="Arial" w:hAnsi="Arial" w:cs="Arial"/>
          <w:sz w:val="20"/>
          <w:szCs w:val="20"/>
        </w:rPr>
      </w:pPr>
    </w:p>
    <w:p w14:paraId="2F6B6615" w14:textId="77777777" w:rsidR="00A5788B" w:rsidRPr="005A3622" w:rsidRDefault="00A5788B" w:rsidP="00A5788B">
      <w:pPr>
        <w:pStyle w:val="Title"/>
        <w:rPr>
          <w:rFonts w:ascii="Arial" w:hAnsi="Arial" w:cs="Arial"/>
          <w:sz w:val="20"/>
          <w:szCs w:val="20"/>
        </w:rPr>
      </w:pPr>
      <w:r w:rsidRPr="005A3622">
        <w:rPr>
          <w:rFonts w:ascii="Arial" w:hAnsi="Arial" w:cs="Arial"/>
          <w:sz w:val="20"/>
          <w:szCs w:val="20"/>
        </w:rPr>
        <w:t>Canadian-American Theological Association Annual Meeting</w:t>
      </w:r>
    </w:p>
    <w:p w14:paraId="2F6B6616" w14:textId="77777777" w:rsidR="00A5788B" w:rsidRPr="005A3622" w:rsidRDefault="00A5788B" w:rsidP="00A5788B">
      <w:pPr>
        <w:jc w:val="center"/>
        <w:rPr>
          <w:rFonts w:ascii="Arial" w:hAnsi="Arial" w:cs="Arial"/>
          <w:b/>
          <w:sz w:val="20"/>
          <w:szCs w:val="20"/>
        </w:rPr>
      </w:pPr>
      <w:r w:rsidRPr="005A3622">
        <w:rPr>
          <w:rFonts w:ascii="Arial" w:hAnsi="Arial" w:cs="Arial"/>
          <w:b/>
          <w:sz w:val="20"/>
          <w:szCs w:val="20"/>
        </w:rPr>
        <w:t>Congress of Humanities and Social Sciences, University of Regina</w:t>
      </w:r>
    </w:p>
    <w:p w14:paraId="2F6B6617" w14:textId="77777777" w:rsidR="00A5788B" w:rsidRPr="005A3622" w:rsidRDefault="00A5788B" w:rsidP="00A5788B">
      <w:pPr>
        <w:jc w:val="center"/>
        <w:rPr>
          <w:rFonts w:ascii="Arial" w:hAnsi="Arial" w:cs="Arial"/>
          <w:b/>
          <w:sz w:val="20"/>
          <w:szCs w:val="20"/>
        </w:rPr>
      </w:pPr>
      <w:r w:rsidRPr="005A3622">
        <w:rPr>
          <w:rFonts w:ascii="Arial" w:hAnsi="Arial" w:cs="Arial"/>
          <w:b/>
          <w:sz w:val="20"/>
          <w:szCs w:val="20"/>
        </w:rPr>
        <w:t>May 27, 2018</w:t>
      </w:r>
    </w:p>
    <w:p w14:paraId="2F6B6618" w14:textId="77777777" w:rsidR="00A5788B" w:rsidRPr="005A3622" w:rsidRDefault="00A5788B" w:rsidP="00A5788B">
      <w:pPr>
        <w:jc w:val="center"/>
        <w:rPr>
          <w:rFonts w:ascii="Arial" w:hAnsi="Arial" w:cs="Arial"/>
          <w:b/>
          <w:sz w:val="20"/>
          <w:szCs w:val="20"/>
        </w:rPr>
      </w:pPr>
    </w:p>
    <w:p w14:paraId="2F6B6619" w14:textId="77777777" w:rsidR="00A5788B" w:rsidRPr="005A3622" w:rsidRDefault="00A5788B" w:rsidP="00A5788B">
      <w:pPr>
        <w:tabs>
          <w:tab w:val="left" w:pos="3380"/>
        </w:tabs>
        <w:rPr>
          <w:rFonts w:ascii="Arial" w:hAnsi="Arial" w:cs="Arial"/>
          <w:b/>
          <w:color w:val="000000"/>
          <w:sz w:val="20"/>
          <w:szCs w:val="20"/>
          <w:shd w:val="clear" w:color="auto" w:fill="FFFFFF"/>
        </w:rPr>
      </w:pPr>
      <w:r w:rsidRPr="005A3622">
        <w:rPr>
          <w:rFonts w:ascii="Arial" w:eastAsia="MS Mincho" w:hAnsi="Arial" w:cs="Arial"/>
          <w:b/>
          <w:bCs/>
          <w:sz w:val="20"/>
          <w:szCs w:val="20"/>
        </w:rPr>
        <w:t xml:space="preserve">All CATA meetings are held in rooms CL 135 and CL 135.4 in the Classroom Building </w:t>
      </w:r>
      <w:r w:rsidRPr="005A3622">
        <w:rPr>
          <w:rFonts w:ascii="Arial" w:hAnsi="Arial" w:cs="Arial"/>
          <w:b/>
          <w:color w:val="000000"/>
          <w:sz w:val="20"/>
          <w:szCs w:val="20"/>
          <w:shd w:val="clear" w:color="auto" w:fill="FFFFFF"/>
        </w:rPr>
        <w:t xml:space="preserve">3737 </w:t>
      </w:r>
      <w:proofErr w:type="spellStart"/>
      <w:r w:rsidRPr="005A3622">
        <w:rPr>
          <w:rFonts w:ascii="Arial" w:hAnsi="Arial" w:cs="Arial"/>
          <w:b/>
          <w:color w:val="000000"/>
          <w:sz w:val="20"/>
          <w:szCs w:val="20"/>
          <w:shd w:val="clear" w:color="auto" w:fill="FFFFFF"/>
        </w:rPr>
        <w:t>Wascana</w:t>
      </w:r>
      <w:proofErr w:type="spellEnd"/>
      <w:r w:rsidRPr="005A3622">
        <w:rPr>
          <w:rFonts w:ascii="Arial" w:hAnsi="Arial" w:cs="Arial"/>
          <w:b/>
          <w:color w:val="000000"/>
          <w:sz w:val="20"/>
          <w:szCs w:val="20"/>
          <w:shd w:val="clear" w:color="auto" w:fill="FFFFFF"/>
        </w:rPr>
        <w:t xml:space="preserve"> Parkway, University </w:t>
      </w:r>
      <w:proofErr w:type="spellStart"/>
      <w:r w:rsidRPr="005A3622">
        <w:rPr>
          <w:rFonts w:ascii="Arial" w:hAnsi="Arial" w:cs="Arial"/>
          <w:b/>
          <w:color w:val="000000"/>
          <w:sz w:val="20"/>
          <w:szCs w:val="20"/>
          <w:shd w:val="clear" w:color="auto" w:fill="FFFFFF"/>
        </w:rPr>
        <w:t>Dr</w:t>
      </w:r>
      <w:proofErr w:type="spellEnd"/>
      <w:r w:rsidRPr="005A3622">
        <w:rPr>
          <w:rFonts w:ascii="Arial" w:hAnsi="Arial" w:cs="Arial"/>
          <w:b/>
          <w:color w:val="000000"/>
          <w:sz w:val="20"/>
          <w:szCs w:val="20"/>
          <w:shd w:val="clear" w:color="auto" w:fill="FFFFFF"/>
        </w:rPr>
        <w:t xml:space="preserve"> N, Regina</w:t>
      </w:r>
    </w:p>
    <w:p w14:paraId="2F6B661A" w14:textId="77777777" w:rsidR="00A5788B" w:rsidRPr="005A3622" w:rsidRDefault="00A5788B" w:rsidP="00A5788B">
      <w:pPr>
        <w:tabs>
          <w:tab w:val="left" w:pos="3380"/>
        </w:tabs>
        <w:rPr>
          <w:rFonts w:ascii="Arial" w:hAnsi="Arial" w:cs="Arial"/>
          <w:b/>
          <w:sz w:val="20"/>
          <w:szCs w:val="20"/>
        </w:rPr>
      </w:pPr>
    </w:p>
    <w:p w14:paraId="2F6B661B" w14:textId="77777777" w:rsidR="00A5788B" w:rsidRPr="005A3622" w:rsidRDefault="00A5788B" w:rsidP="00A5788B">
      <w:pPr>
        <w:rPr>
          <w:rFonts w:ascii="Arial" w:hAnsi="Arial" w:cs="Arial"/>
          <w:b/>
          <w:sz w:val="20"/>
          <w:szCs w:val="20"/>
        </w:rPr>
      </w:pPr>
      <w:r w:rsidRPr="005A3622">
        <w:rPr>
          <w:rFonts w:ascii="Arial" w:hAnsi="Arial" w:cs="Arial"/>
          <w:b/>
          <w:sz w:val="20"/>
          <w:szCs w:val="20"/>
        </w:rPr>
        <w:t>9:00-9:15 a.m.</w:t>
      </w:r>
      <w:r w:rsidRPr="005A3622">
        <w:rPr>
          <w:rFonts w:ascii="Arial" w:hAnsi="Arial" w:cs="Arial"/>
          <w:b/>
          <w:sz w:val="20"/>
          <w:szCs w:val="20"/>
        </w:rPr>
        <w:tab/>
        <w:t xml:space="preserve"> Opening Worship.  CL 135</w:t>
      </w:r>
    </w:p>
    <w:p w14:paraId="2F6B661C" w14:textId="77777777" w:rsidR="00A5788B" w:rsidRPr="005A3622" w:rsidRDefault="00A5788B" w:rsidP="00A5788B">
      <w:pPr>
        <w:ind w:left="720"/>
        <w:rPr>
          <w:rFonts w:ascii="Arial" w:hAnsi="Arial" w:cs="Arial"/>
          <w:sz w:val="20"/>
          <w:szCs w:val="20"/>
        </w:rPr>
      </w:pPr>
    </w:p>
    <w:p w14:paraId="2F6B661D" w14:textId="77777777" w:rsidR="00A5788B" w:rsidRPr="005A3622" w:rsidRDefault="00A5788B" w:rsidP="00A5788B">
      <w:pPr>
        <w:rPr>
          <w:rFonts w:ascii="Arial" w:hAnsi="Arial" w:cs="Arial"/>
          <w:b/>
          <w:sz w:val="20"/>
          <w:szCs w:val="20"/>
        </w:rPr>
      </w:pPr>
      <w:r w:rsidRPr="005A3622">
        <w:rPr>
          <w:rFonts w:ascii="Arial" w:hAnsi="Arial" w:cs="Arial"/>
          <w:b/>
          <w:sz w:val="20"/>
          <w:szCs w:val="20"/>
        </w:rPr>
        <w:t>9:15–11:15 a.m.</w:t>
      </w:r>
      <w:r w:rsidRPr="005A3622">
        <w:rPr>
          <w:rFonts w:ascii="Arial" w:hAnsi="Arial" w:cs="Arial"/>
          <w:b/>
          <w:sz w:val="20"/>
          <w:szCs w:val="20"/>
        </w:rPr>
        <w:tab/>
        <w:t>Session One</w:t>
      </w:r>
      <w:r w:rsidRPr="005A3622">
        <w:rPr>
          <w:rFonts w:ascii="Arial" w:hAnsi="Arial" w:cs="Arial"/>
          <w:sz w:val="20"/>
          <w:szCs w:val="20"/>
        </w:rPr>
        <w:t xml:space="preserve"> </w:t>
      </w:r>
    </w:p>
    <w:p w14:paraId="2F6B661E" w14:textId="77777777" w:rsidR="00A5788B" w:rsidRPr="005A3622" w:rsidRDefault="00A5788B" w:rsidP="00A5788B">
      <w:pPr>
        <w:rPr>
          <w:rFonts w:ascii="Arial" w:hAnsi="Arial" w:cs="Arial"/>
          <w:b/>
          <w:sz w:val="20"/>
          <w:szCs w:val="20"/>
        </w:rPr>
      </w:pPr>
    </w:p>
    <w:p w14:paraId="2F6B661F" w14:textId="77777777" w:rsidR="00A5788B" w:rsidRPr="005A3622" w:rsidRDefault="00A5788B" w:rsidP="00A5788B">
      <w:pPr>
        <w:rPr>
          <w:rFonts w:ascii="Arial" w:hAnsi="Arial" w:cs="Arial"/>
          <w:sz w:val="20"/>
          <w:szCs w:val="20"/>
        </w:rPr>
      </w:pPr>
      <w:r w:rsidRPr="005A3622">
        <w:rPr>
          <w:rFonts w:ascii="Arial" w:hAnsi="Arial" w:cs="Arial"/>
          <w:b/>
          <w:sz w:val="20"/>
          <w:szCs w:val="20"/>
        </w:rPr>
        <w:t>Section A</w:t>
      </w:r>
      <w:r w:rsidRPr="005A3622">
        <w:rPr>
          <w:rFonts w:ascii="Arial" w:hAnsi="Arial" w:cs="Arial"/>
          <w:sz w:val="20"/>
          <w:szCs w:val="20"/>
        </w:rPr>
        <w:t xml:space="preserve">. </w:t>
      </w:r>
      <w:r w:rsidRPr="005A3622">
        <w:rPr>
          <w:rFonts w:ascii="Arial" w:hAnsi="Arial" w:cs="Arial"/>
          <w:b/>
          <w:sz w:val="20"/>
          <w:szCs w:val="20"/>
        </w:rPr>
        <w:t>Chair: Lee Beach Room CL 135</w:t>
      </w:r>
    </w:p>
    <w:p w14:paraId="2F6B6620" w14:textId="77777777" w:rsidR="00A5788B" w:rsidRPr="005A3622" w:rsidRDefault="00A5788B" w:rsidP="00A5788B">
      <w:pPr>
        <w:rPr>
          <w:rFonts w:ascii="Arial" w:hAnsi="Arial" w:cs="Arial"/>
          <w:sz w:val="20"/>
          <w:szCs w:val="20"/>
        </w:rPr>
      </w:pPr>
      <w:r w:rsidRPr="005A3622">
        <w:rPr>
          <w:rFonts w:ascii="Arial" w:hAnsi="Arial" w:cs="Arial"/>
          <w:sz w:val="20"/>
          <w:szCs w:val="20"/>
        </w:rPr>
        <w:t xml:space="preserve"> </w:t>
      </w:r>
    </w:p>
    <w:p w14:paraId="2F6B6621" w14:textId="77777777" w:rsidR="00A5788B" w:rsidRPr="005A3622" w:rsidRDefault="00A5788B" w:rsidP="00A5788B">
      <w:pPr>
        <w:rPr>
          <w:rFonts w:ascii="Arial" w:hAnsi="Arial" w:cs="Arial"/>
          <w:sz w:val="20"/>
          <w:szCs w:val="20"/>
        </w:rPr>
      </w:pPr>
      <w:r w:rsidRPr="005A3622">
        <w:rPr>
          <w:rFonts w:ascii="Arial" w:hAnsi="Arial" w:cs="Arial"/>
          <w:color w:val="1A1A1A"/>
          <w:sz w:val="20"/>
          <w:szCs w:val="20"/>
        </w:rPr>
        <w:t>J. Gerald Janzen</w:t>
      </w:r>
      <w:r w:rsidRPr="005A3622">
        <w:rPr>
          <w:rFonts w:ascii="Arial" w:eastAsia="Times New Roman" w:hAnsi="Arial" w:cs="Arial"/>
          <w:sz w:val="20"/>
          <w:szCs w:val="20"/>
          <w:lang w:eastAsia="ja-JP"/>
        </w:rPr>
        <w:t xml:space="preserve">, </w:t>
      </w:r>
      <w:r w:rsidRPr="005A3622">
        <w:rPr>
          <w:rFonts w:ascii="Arial" w:hAnsi="Arial" w:cs="Arial"/>
          <w:color w:val="1A1A1A"/>
          <w:sz w:val="20"/>
          <w:szCs w:val="20"/>
        </w:rPr>
        <w:t>Christian Theological Seminary</w:t>
      </w:r>
      <w:r w:rsidRPr="005A3622">
        <w:rPr>
          <w:rFonts w:ascii="Arial" w:hAnsi="Arial" w:cs="Arial"/>
          <w:sz w:val="20"/>
          <w:szCs w:val="20"/>
        </w:rPr>
        <w:t>, “Transplanted by Torah in Psalm 1 and Beyond”</w:t>
      </w:r>
    </w:p>
    <w:p w14:paraId="2F6B6622" w14:textId="77777777" w:rsidR="003E0700" w:rsidRPr="005A3622" w:rsidRDefault="003E0700" w:rsidP="00A5788B">
      <w:pPr>
        <w:rPr>
          <w:rFonts w:ascii="Arial" w:hAnsi="Arial" w:cs="Arial"/>
          <w:sz w:val="20"/>
          <w:szCs w:val="20"/>
        </w:rPr>
      </w:pPr>
      <w:r w:rsidRPr="005A3622">
        <w:rPr>
          <w:sz w:val="20"/>
          <w:szCs w:val="20"/>
        </w:rPr>
        <w:t xml:space="preserve">In examining two elements in Psalm 1—the noun, </w:t>
      </w:r>
      <w:proofErr w:type="spellStart"/>
      <w:r w:rsidRPr="005A3622">
        <w:rPr>
          <w:i/>
          <w:sz w:val="20"/>
          <w:szCs w:val="20"/>
        </w:rPr>
        <w:t>tora</w:t>
      </w:r>
      <w:proofErr w:type="spellEnd"/>
      <w:r w:rsidRPr="005A3622">
        <w:rPr>
          <w:sz w:val="20"/>
          <w:szCs w:val="20"/>
        </w:rPr>
        <w:t xml:space="preserve">, usually translated, ‘law,’ and the verb, </w:t>
      </w:r>
      <w:proofErr w:type="spellStart"/>
      <w:r w:rsidRPr="005A3622">
        <w:rPr>
          <w:i/>
          <w:sz w:val="20"/>
          <w:szCs w:val="20"/>
        </w:rPr>
        <w:t>shatul</w:t>
      </w:r>
      <w:proofErr w:type="spellEnd"/>
      <w:r w:rsidRPr="005A3622">
        <w:rPr>
          <w:sz w:val="20"/>
          <w:szCs w:val="20"/>
        </w:rPr>
        <w:t xml:space="preserve">, usually translated, ‘planted’—I make the following assumptions, following the work of others. </w:t>
      </w:r>
      <w:r w:rsidRPr="005A3622">
        <w:rPr>
          <w:b/>
          <w:sz w:val="20"/>
          <w:szCs w:val="20"/>
        </w:rPr>
        <w:t>(1)</w:t>
      </w:r>
      <w:r w:rsidRPr="005A3622">
        <w:rPr>
          <w:sz w:val="20"/>
          <w:szCs w:val="20"/>
        </w:rPr>
        <w:t xml:space="preserve"> The Psalter is in some sense a shaped collection of Psalms tracing a tortuous path that has an outcome, a </w:t>
      </w:r>
      <w:r w:rsidRPr="005A3622">
        <w:rPr>
          <w:i/>
          <w:sz w:val="20"/>
          <w:szCs w:val="20"/>
        </w:rPr>
        <w:t>telos</w:t>
      </w:r>
      <w:r w:rsidRPr="005A3622">
        <w:rPr>
          <w:sz w:val="20"/>
          <w:szCs w:val="20"/>
        </w:rPr>
        <w:t xml:space="preserve">. </w:t>
      </w:r>
      <w:r w:rsidRPr="005A3622">
        <w:rPr>
          <w:b/>
          <w:sz w:val="20"/>
          <w:szCs w:val="20"/>
        </w:rPr>
        <w:t>(2)</w:t>
      </w:r>
      <w:r w:rsidRPr="005A3622">
        <w:rPr>
          <w:sz w:val="20"/>
          <w:szCs w:val="20"/>
        </w:rPr>
        <w:t xml:space="preserve"> Psalms 1 and 2 function as a joint introduction to the Psalter. </w:t>
      </w:r>
      <w:r w:rsidRPr="005A3622">
        <w:rPr>
          <w:b/>
          <w:sz w:val="20"/>
          <w:szCs w:val="20"/>
        </w:rPr>
        <w:t xml:space="preserve">(3) </w:t>
      </w:r>
      <w:r w:rsidRPr="005A3622">
        <w:rPr>
          <w:sz w:val="20"/>
          <w:szCs w:val="20"/>
        </w:rPr>
        <w:t xml:space="preserve">These two psalms contain keynotes that will recur in subsequent psalms—keynotes serving to orient the diverse </w:t>
      </w:r>
      <w:proofErr w:type="spellStart"/>
      <w:r w:rsidRPr="005A3622">
        <w:rPr>
          <w:sz w:val="20"/>
          <w:szCs w:val="20"/>
        </w:rPr>
        <w:t>thematics</w:t>
      </w:r>
      <w:proofErr w:type="spellEnd"/>
      <w:r w:rsidRPr="005A3622">
        <w:rPr>
          <w:sz w:val="20"/>
          <w:szCs w:val="20"/>
        </w:rPr>
        <w:t xml:space="preserve"> in the various psalms along a thematically rich if tortuous path toward the </w:t>
      </w:r>
      <w:r w:rsidRPr="005A3622">
        <w:rPr>
          <w:i/>
          <w:sz w:val="20"/>
          <w:szCs w:val="20"/>
        </w:rPr>
        <w:t>telos</w:t>
      </w:r>
      <w:r w:rsidRPr="005A3622">
        <w:rPr>
          <w:sz w:val="20"/>
          <w:szCs w:val="20"/>
        </w:rPr>
        <w:t xml:space="preserve"> of Psalm 150. In Psalm 1 agree with, e.g., Goldingay that </w:t>
      </w:r>
      <w:proofErr w:type="spellStart"/>
      <w:r w:rsidRPr="005A3622">
        <w:rPr>
          <w:i/>
          <w:sz w:val="20"/>
          <w:szCs w:val="20"/>
        </w:rPr>
        <w:t>torah</w:t>
      </w:r>
      <w:proofErr w:type="spellEnd"/>
      <w:r w:rsidRPr="005A3622">
        <w:rPr>
          <w:i/>
          <w:sz w:val="20"/>
          <w:szCs w:val="20"/>
        </w:rPr>
        <w:t xml:space="preserve"> </w:t>
      </w:r>
      <w:r w:rsidRPr="005A3622">
        <w:rPr>
          <w:sz w:val="20"/>
          <w:szCs w:val="20"/>
        </w:rPr>
        <w:t xml:space="preserve">refers to the Psalter’s instruction in ‘prayer, praise and testimony’; and, accepting McCann’s construal of </w:t>
      </w:r>
      <w:proofErr w:type="spellStart"/>
      <w:r w:rsidRPr="005A3622">
        <w:rPr>
          <w:i/>
          <w:sz w:val="20"/>
          <w:szCs w:val="20"/>
        </w:rPr>
        <w:t>shatul</w:t>
      </w:r>
      <w:proofErr w:type="spellEnd"/>
      <w:r w:rsidRPr="005A3622">
        <w:rPr>
          <w:sz w:val="20"/>
          <w:szCs w:val="20"/>
        </w:rPr>
        <w:t xml:space="preserve">, I take this verb as imaging how, </w:t>
      </w:r>
      <w:r w:rsidRPr="005A3622">
        <w:rPr>
          <w:i/>
          <w:sz w:val="20"/>
          <w:szCs w:val="20"/>
        </w:rPr>
        <w:t>within the psalm</w:t>
      </w:r>
      <w:r w:rsidRPr="005A3622">
        <w:rPr>
          <w:sz w:val="20"/>
          <w:szCs w:val="20"/>
        </w:rPr>
        <w:t xml:space="preserve">, one is ‘transplanted’ from a locus amid the wicked, sinners and scorners and into the ‘congregation of the righteous,’ and to how, </w:t>
      </w:r>
      <w:r w:rsidRPr="005A3622">
        <w:rPr>
          <w:i/>
          <w:sz w:val="20"/>
          <w:szCs w:val="20"/>
        </w:rPr>
        <w:t>within the Psalter</w:t>
      </w:r>
      <w:r w:rsidRPr="005A3622">
        <w:rPr>
          <w:sz w:val="20"/>
          <w:szCs w:val="20"/>
        </w:rPr>
        <w:t xml:space="preserve">, one is transplanted into ‘the courts of the LORD’ (Psalm 91) as a foretaste of the Psalter’s </w:t>
      </w:r>
      <w:r w:rsidRPr="005A3622">
        <w:rPr>
          <w:i/>
          <w:sz w:val="20"/>
          <w:szCs w:val="20"/>
        </w:rPr>
        <w:t>telos</w:t>
      </w:r>
      <w:r w:rsidRPr="005A3622">
        <w:rPr>
          <w:sz w:val="20"/>
          <w:szCs w:val="20"/>
        </w:rPr>
        <w:t xml:space="preserve"> in Psalm 150.</w:t>
      </w:r>
      <w:r w:rsidRPr="005A3622">
        <w:rPr>
          <w:sz w:val="20"/>
          <w:szCs w:val="20"/>
        </w:rPr>
        <w:tab/>
      </w:r>
    </w:p>
    <w:p w14:paraId="2F6B6623" w14:textId="77777777" w:rsidR="00A5788B" w:rsidRPr="005A3622" w:rsidRDefault="00A5788B" w:rsidP="00A5788B">
      <w:pPr>
        <w:rPr>
          <w:rFonts w:ascii="Arial" w:hAnsi="Arial" w:cs="Arial"/>
          <w:sz w:val="20"/>
          <w:szCs w:val="20"/>
        </w:rPr>
      </w:pPr>
    </w:p>
    <w:p w14:paraId="2F6B6624" w14:textId="2E2027D5" w:rsidR="00A5788B" w:rsidRPr="005A3622" w:rsidRDefault="00A5788B" w:rsidP="00A5788B">
      <w:pPr>
        <w:pStyle w:val="NormalWeb"/>
        <w:rPr>
          <w:rFonts w:ascii="Arial" w:hAnsi="Arial" w:cs="Arial"/>
          <w:sz w:val="20"/>
          <w:szCs w:val="20"/>
        </w:rPr>
      </w:pPr>
      <w:r w:rsidRPr="005A3622">
        <w:rPr>
          <w:rFonts w:ascii="Arial" w:hAnsi="Arial" w:cs="Arial"/>
          <w:color w:val="000000"/>
          <w:sz w:val="20"/>
          <w:szCs w:val="20"/>
        </w:rPr>
        <w:t xml:space="preserve">Robert P. Ward, </w:t>
      </w:r>
      <w:r w:rsidR="00683DCC">
        <w:rPr>
          <w:rFonts w:ascii="Arial" w:hAnsi="Arial" w:cs="Arial"/>
          <w:color w:val="000000"/>
          <w:sz w:val="20"/>
          <w:szCs w:val="20"/>
        </w:rPr>
        <w:t>John Witherspoon College</w:t>
      </w:r>
      <w:bookmarkStart w:id="0" w:name="_GoBack"/>
      <w:bookmarkEnd w:id="0"/>
      <w:r w:rsidRPr="005A3622">
        <w:rPr>
          <w:rFonts w:ascii="Arial" w:hAnsi="Arial" w:cs="Arial"/>
          <w:color w:val="000000"/>
          <w:sz w:val="20"/>
          <w:szCs w:val="20"/>
        </w:rPr>
        <w:t>,</w:t>
      </w:r>
      <w:r w:rsidRPr="005A3622">
        <w:rPr>
          <w:rFonts w:ascii="Arial" w:hAnsi="Arial" w:cs="Arial"/>
          <w:sz w:val="20"/>
          <w:szCs w:val="20"/>
        </w:rPr>
        <w:t xml:space="preserve"> “Rethinking Old Testament Reliability from a Text-Critical Perspective.”</w:t>
      </w:r>
    </w:p>
    <w:p w14:paraId="2F6B6625" w14:textId="77777777" w:rsidR="00E01A0C" w:rsidRPr="005A3622" w:rsidRDefault="00E01A0C" w:rsidP="00E01A0C">
      <w:pPr>
        <w:rPr>
          <w:sz w:val="20"/>
          <w:szCs w:val="20"/>
        </w:rPr>
      </w:pPr>
      <w:r w:rsidRPr="005A3622">
        <w:rPr>
          <w:sz w:val="20"/>
          <w:szCs w:val="20"/>
        </w:rPr>
        <w:t>There is a considerable amount of misunderstanding about the role of textual criticism in a Christian defense of the reliability of the Old Testament. Most treatments are shallow, contain only some of the relevant information, or simply misleading and misinformed. Because of these problems, this paper critiques the problems found in most apologetic approaches of the reliability of the Old Testament from a text-critical perspective, attempts to develop a defense based upon current text-critical scholarship, and challenges Christians to develop a perspective of the Old Testament that considers the diverse traditions of the transmission of the Old Testament.</w:t>
      </w:r>
    </w:p>
    <w:p w14:paraId="2F6B6626" w14:textId="77777777" w:rsidR="00A5788B" w:rsidRPr="005A3622" w:rsidRDefault="00A5788B" w:rsidP="00A5788B">
      <w:pPr>
        <w:rPr>
          <w:rFonts w:ascii="Arial" w:hAnsi="Arial" w:cs="Arial"/>
          <w:sz w:val="20"/>
          <w:szCs w:val="20"/>
        </w:rPr>
      </w:pPr>
    </w:p>
    <w:p w14:paraId="2F6B6627" w14:textId="77777777" w:rsidR="00A5788B" w:rsidRPr="005A3622" w:rsidRDefault="00A5788B" w:rsidP="00A5788B">
      <w:pPr>
        <w:rPr>
          <w:rFonts w:ascii="Arial" w:hAnsi="Arial" w:cs="Arial"/>
          <w:sz w:val="20"/>
          <w:szCs w:val="20"/>
        </w:rPr>
      </w:pPr>
      <w:r w:rsidRPr="005A3622">
        <w:rPr>
          <w:rFonts w:ascii="Arial" w:hAnsi="Arial" w:cs="Arial"/>
          <w:sz w:val="20"/>
          <w:szCs w:val="20"/>
        </w:rPr>
        <w:t>Marion Taylor, Wycliffe College, “Nineteenth-century Women Wrestling with Pauline Texts”  </w:t>
      </w:r>
    </w:p>
    <w:p w14:paraId="2F6B6628" w14:textId="77777777" w:rsidR="00E01A0C" w:rsidRPr="005A3622" w:rsidRDefault="00E01A0C" w:rsidP="00E01A0C">
      <w:pPr>
        <w:rPr>
          <w:sz w:val="20"/>
          <w:szCs w:val="20"/>
        </w:rPr>
      </w:pPr>
      <w:r w:rsidRPr="005A3622">
        <w:rPr>
          <w:sz w:val="20"/>
          <w:szCs w:val="20"/>
        </w:rPr>
        <w:t xml:space="preserve">In her role as chair of the New York women’s rights convention in 1854, Elizabeth Cady Stanton strongly encouraged women to support the petition for women’s right to vote: “Let no religious scruples hole you back. Take no heed to man’s interpretations of Paul’s injunctions to women. To my thinking mind, there is no difficulty in explaining those passages of the Apostle as applicable to the times in which they were written, as having no reference whatever to the Women of the nineteenth century.” Stanton was certainly not the only woman to publish her thoughts on Paul’s injunctions to women in the nineteenth century. In this paper, we will examine the views of women who published their dissimilar views on Paul with a view to recovering forgotten voices of views that are still held argued today. We will specifically make reference to Sarah Hale, Harriet Livermore, Harriet Beecher Stowe, Ellen Battelle </w:t>
      </w:r>
      <w:proofErr w:type="spellStart"/>
      <w:r w:rsidRPr="005A3622">
        <w:rPr>
          <w:sz w:val="20"/>
          <w:szCs w:val="20"/>
        </w:rPr>
        <w:t>Dietrick</w:t>
      </w:r>
      <w:proofErr w:type="spellEnd"/>
      <w:r w:rsidRPr="005A3622">
        <w:rPr>
          <w:sz w:val="20"/>
          <w:szCs w:val="20"/>
        </w:rPr>
        <w:t xml:space="preserve">, </w:t>
      </w:r>
      <w:proofErr w:type="spellStart"/>
      <w:r w:rsidRPr="005A3622">
        <w:rPr>
          <w:sz w:val="20"/>
          <w:szCs w:val="20"/>
        </w:rPr>
        <w:t>Zilpah</w:t>
      </w:r>
      <w:proofErr w:type="spellEnd"/>
      <w:r w:rsidRPr="005A3622">
        <w:rPr>
          <w:sz w:val="20"/>
          <w:szCs w:val="20"/>
        </w:rPr>
        <w:t xml:space="preserve"> </w:t>
      </w:r>
      <w:proofErr w:type="spellStart"/>
      <w:r w:rsidRPr="005A3622">
        <w:rPr>
          <w:sz w:val="20"/>
          <w:szCs w:val="20"/>
        </w:rPr>
        <w:t>Elaw</w:t>
      </w:r>
      <w:proofErr w:type="spellEnd"/>
      <w:r w:rsidRPr="005A3622">
        <w:rPr>
          <w:sz w:val="20"/>
          <w:szCs w:val="20"/>
        </w:rPr>
        <w:t xml:space="preserve">, Old Elizabeth, Phoebe Palmer, and Elizabeth Baxter.  </w:t>
      </w:r>
    </w:p>
    <w:p w14:paraId="2F6B6629" w14:textId="77777777" w:rsidR="00A5788B" w:rsidRPr="005A3622" w:rsidRDefault="00A5788B" w:rsidP="00A5788B">
      <w:pPr>
        <w:rPr>
          <w:rFonts w:ascii="Arial" w:hAnsi="Arial" w:cs="Arial"/>
          <w:sz w:val="20"/>
          <w:szCs w:val="20"/>
        </w:rPr>
      </w:pPr>
    </w:p>
    <w:p w14:paraId="2F6B662A" w14:textId="77777777" w:rsidR="00A5788B" w:rsidRPr="005A3622" w:rsidRDefault="00A5788B" w:rsidP="00A5788B">
      <w:pPr>
        <w:pStyle w:val="NormalWeb"/>
        <w:rPr>
          <w:rFonts w:ascii="Arial" w:hAnsi="Arial" w:cs="Arial"/>
          <w:sz w:val="20"/>
          <w:szCs w:val="20"/>
        </w:rPr>
      </w:pPr>
      <w:r w:rsidRPr="005A3622">
        <w:rPr>
          <w:rFonts w:ascii="Arial" w:hAnsi="Arial" w:cs="Arial"/>
          <w:color w:val="000000"/>
          <w:sz w:val="20"/>
          <w:szCs w:val="20"/>
        </w:rPr>
        <w:t>Nicholas Quient, Fuller Theological Seminary,</w:t>
      </w:r>
      <w:r w:rsidRPr="005A3622">
        <w:rPr>
          <w:rFonts w:ascii="Arial" w:hAnsi="Arial" w:cs="Arial"/>
          <w:i/>
          <w:sz w:val="20"/>
          <w:szCs w:val="20"/>
        </w:rPr>
        <w:t xml:space="preserve"> </w:t>
      </w:r>
      <w:r w:rsidRPr="005A3622">
        <w:rPr>
          <w:rFonts w:ascii="Arial" w:hAnsi="Arial" w:cs="Arial"/>
          <w:sz w:val="20"/>
          <w:szCs w:val="20"/>
        </w:rPr>
        <w:t xml:space="preserve">“When Hope Becomes Glory: </w:t>
      </w:r>
      <w:r w:rsidRPr="005A3622">
        <w:rPr>
          <w:rStyle w:val="unicodefont"/>
          <w:rFonts w:ascii="Arial" w:eastAsia="Times New Roman" w:hAnsi="Arial" w:cs="Arial"/>
          <w:sz w:val="20"/>
          <w:szCs w:val="20"/>
        </w:rPr>
        <w:t xml:space="preserve">Christ and Apocalyptic Perfection </w:t>
      </w:r>
      <w:r w:rsidRPr="005A3622">
        <w:rPr>
          <w:rFonts w:ascii="Arial" w:hAnsi="Arial" w:cs="Arial"/>
          <w:sz w:val="20"/>
          <w:szCs w:val="20"/>
        </w:rPr>
        <w:t>in Colossians”</w:t>
      </w:r>
    </w:p>
    <w:p w14:paraId="2F6B662B" w14:textId="77777777" w:rsidR="00D30F91" w:rsidRPr="005A3622" w:rsidRDefault="00D30F91" w:rsidP="00D30F91">
      <w:pPr>
        <w:contextualSpacing/>
        <w:rPr>
          <w:rStyle w:val="primarylightbg"/>
          <w:rFonts w:eastAsia="Times New Roman"/>
          <w:sz w:val="20"/>
          <w:szCs w:val="20"/>
        </w:rPr>
      </w:pPr>
      <w:r w:rsidRPr="005A3622">
        <w:rPr>
          <w:sz w:val="20"/>
          <w:szCs w:val="20"/>
        </w:rPr>
        <w:t>In the Methodist tradition, much has been made concerning the issue of "Christian Perfection." Methodist theologian William J. Abraham astutely notes, "</w:t>
      </w:r>
      <w:r w:rsidRPr="005A3622">
        <w:rPr>
          <w:rFonts w:eastAsia="Times New Roman"/>
          <w:sz w:val="20"/>
          <w:szCs w:val="20"/>
        </w:rPr>
        <w:t>We are so far removed from the originating doctrine of Christian perfection that retrieving it for the purposes of exposition is a challenge."</w:t>
      </w:r>
      <w:r w:rsidRPr="005A3622">
        <w:rPr>
          <w:rStyle w:val="FootnoteReference"/>
          <w:rFonts w:eastAsia="Times New Roman"/>
          <w:sz w:val="20"/>
          <w:szCs w:val="20"/>
        </w:rPr>
        <w:footnoteReference w:id="1"/>
      </w:r>
      <w:r w:rsidRPr="005A3622">
        <w:rPr>
          <w:rFonts w:eastAsia="Times New Roman"/>
          <w:sz w:val="20"/>
          <w:szCs w:val="20"/>
        </w:rPr>
        <w:t xml:space="preserve"> The goal of this paper is to argue for "Christian Perfection" in Paul's epistle to the Colossians based on the </w:t>
      </w:r>
      <w:proofErr w:type="spellStart"/>
      <w:r w:rsidRPr="005A3622">
        <w:rPr>
          <w:rStyle w:val="unicodefont"/>
          <w:rFonts w:eastAsia="Times New Roman"/>
          <w:sz w:val="20"/>
          <w:szCs w:val="20"/>
        </w:rPr>
        <w:t>τέλειος</w:t>
      </w:r>
      <w:proofErr w:type="spellEnd"/>
      <w:r w:rsidRPr="005A3622">
        <w:rPr>
          <w:rStyle w:val="unicodefont"/>
          <w:rFonts w:eastAsia="Times New Roman"/>
          <w:sz w:val="20"/>
          <w:szCs w:val="20"/>
        </w:rPr>
        <w:t xml:space="preserve"> lexeme</w:t>
      </w:r>
      <w:r w:rsidRPr="005A3622">
        <w:rPr>
          <w:rFonts w:eastAsia="Times New Roman"/>
          <w:sz w:val="20"/>
          <w:szCs w:val="20"/>
        </w:rPr>
        <w:t>. Paul begins in 1:28</w:t>
      </w:r>
      <w:r w:rsidRPr="005A3622">
        <w:rPr>
          <w:sz w:val="20"/>
          <w:szCs w:val="20"/>
        </w:rPr>
        <w:t xml:space="preserve"> with the </w:t>
      </w:r>
      <w:r w:rsidRPr="005A3622">
        <w:rPr>
          <w:sz w:val="20"/>
          <w:szCs w:val="20"/>
        </w:rPr>
        <w:lastRenderedPageBreak/>
        <w:t>proclamation of Christ for the perfection of all people. The use of two present participles (</w:t>
      </w:r>
      <w:proofErr w:type="spellStart"/>
      <w:r w:rsidRPr="005A3622">
        <w:rPr>
          <w:rStyle w:val="primarylightbg"/>
          <w:rFonts w:eastAsia="Times New Roman"/>
          <w:sz w:val="20"/>
          <w:szCs w:val="20"/>
        </w:rPr>
        <w:t>νουθετοῦντες</w:t>
      </w:r>
      <w:proofErr w:type="spellEnd"/>
      <w:r w:rsidRPr="005A3622">
        <w:rPr>
          <w:rStyle w:val="primarylightbg"/>
          <w:rFonts w:eastAsia="Times New Roman"/>
          <w:sz w:val="20"/>
          <w:szCs w:val="20"/>
        </w:rPr>
        <w:t xml:space="preserve">, </w:t>
      </w:r>
      <w:proofErr w:type="spellStart"/>
      <w:r w:rsidRPr="005A3622">
        <w:rPr>
          <w:rStyle w:val="primarylightbg"/>
          <w:rFonts w:eastAsia="Times New Roman"/>
          <w:sz w:val="20"/>
          <w:szCs w:val="20"/>
        </w:rPr>
        <w:t>διδάσκοντες</w:t>
      </w:r>
      <w:proofErr w:type="spellEnd"/>
      <w:r w:rsidRPr="005A3622">
        <w:rPr>
          <w:rStyle w:val="primarylightbg"/>
          <w:rFonts w:eastAsia="Times New Roman"/>
          <w:sz w:val="20"/>
          <w:szCs w:val="20"/>
        </w:rPr>
        <w:t xml:space="preserve">) is inclusive of all humanity, that is, the mission of the church for all people. </w:t>
      </w:r>
      <w:r w:rsidRPr="005A3622">
        <w:rPr>
          <w:rStyle w:val="primarylightbg"/>
          <w:sz w:val="20"/>
          <w:szCs w:val="20"/>
        </w:rPr>
        <w:t xml:space="preserve">Similarly in </w:t>
      </w:r>
      <w:r w:rsidRPr="005A3622">
        <w:rPr>
          <w:rStyle w:val="primarylightbg"/>
          <w:rFonts w:eastAsia="Times New Roman"/>
          <w:sz w:val="20"/>
          <w:szCs w:val="20"/>
        </w:rPr>
        <w:t xml:space="preserve">3:14, we are given a hermeneutical clue for the household code, where Paul's apocalyptic ethics work out in love, mutuality, and the demise of power. Christian perfection is an ecclesiological element that binds us all together in love. Finally, I will argue that in </w:t>
      </w:r>
      <w:r w:rsidRPr="005A3622">
        <w:rPr>
          <w:rStyle w:val="primarylightbg"/>
          <w:sz w:val="20"/>
          <w:szCs w:val="20"/>
        </w:rPr>
        <w:t xml:space="preserve">Col </w:t>
      </w:r>
      <w:r w:rsidRPr="005A3622">
        <w:rPr>
          <w:rStyle w:val="primarylightbg"/>
          <w:rFonts w:eastAsia="Times New Roman"/>
          <w:sz w:val="20"/>
          <w:szCs w:val="20"/>
        </w:rPr>
        <w:t>4:12 (which bookends 1:28), Paul's struggles and prayers are for our hope of glory, actualized in Christ. The very nature of Paul's apocalyptic ethics demands a present reality: the punctiliar nature of the incarnation of the Son stresses the immediate actualization of our character and behavior: "we are to be perfect, as our heavenly father is perfect." Thus, perfection is an imperatival precursor to Paul's ethics and the life of the Christian.</w:t>
      </w:r>
    </w:p>
    <w:p w14:paraId="2F6B662C" w14:textId="77777777" w:rsidR="00A5788B" w:rsidRPr="005A3622" w:rsidRDefault="00A5788B" w:rsidP="00A5788B">
      <w:pPr>
        <w:tabs>
          <w:tab w:val="left" w:pos="1840"/>
        </w:tabs>
        <w:rPr>
          <w:rFonts w:ascii="Arial" w:hAnsi="Arial" w:cs="Arial"/>
          <w:sz w:val="20"/>
          <w:szCs w:val="20"/>
          <w:u w:val="single"/>
        </w:rPr>
      </w:pPr>
    </w:p>
    <w:p w14:paraId="2F6B662D" w14:textId="77777777" w:rsidR="00A5788B" w:rsidRPr="005A3622" w:rsidRDefault="00A5788B" w:rsidP="00A5788B">
      <w:pPr>
        <w:rPr>
          <w:rFonts w:ascii="Arial" w:eastAsia="MS Mincho" w:hAnsi="Arial" w:cs="Arial"/>
          <w:b/>
          <w:bCs/>
          <w:sz w:val="20"/>
          <w:szCs w:val="20"/>
        </w:rPr>
      </w:pPr>
      <w:r w:rsidRPr="005A3622">
        <w:rPr>
          <w:rFonts w:ascii="Arial" w:hAnsi="Arial" w:cs="Arial"/>
          <w:b/>
          <w:sz w:val="20"/>
          <w:szCs w:val="20"/>
        </w:rPr>
        <w:t xml:space="preserve">Section B. Chair: Ian </w:t>
      </w:r>
      <w:proofErr w:type="gramStart"/>
      <w:r w:rsidRPr="005A3622">
        <w:rPr>
          <w:rFonts w:ascii="Arial" w:hAnsi="Arial" w:cs="Arial"/>
          <w:b/>
          <w:sz w:val="20"/>
          <w:szCs w:val="20"/>
        </w:rPr>
        <w:t>Ritchie  Room</w:t>
      </w:r>
      <w:proofErr w:type="gramEnd"/>
      <w:r w:rsidRPr="005A3622">
        <w:rPr>
          <w:rFonts w:ascii="Arial" w:hAnsi="Arial" w:cs="Arial"/>
          <w:b/>
          <w:sz w:val="20"/>
          <w:szCs w:val="20"/>
        </w:rPr>
        <w:t xml:space="preserve"> CL 135.4.</w:t>
      </w:r>
    </w:p>
    <w:p w14:paraId="2F6B662E" w14:textId="77777777" w:rsidR="00A5788B" w:rsidRPr="005A3622" w:rsidRDefault="00A5788B" w:rsidP="00A5788B">
      <w:pPr>
        <w:rPr>
          <w:rFonts w:ascii="Arial" w:hAnsi="Arial" w:cs="Arial"/>
          <w:sz w:val="20"/>
          <w:szCs w:val="20"/>
        </w:rPr>
      </w:pPr>
    </w:p>
    <w:p w14:paraId="2F6B662F" w14:textId="77777777" w:rsidR="00A5788B" w:rsidRPr="005A3622" w:rsidRDefault="00A5788B" w:rsidP="00A5788B">
      <w:pPr>
        <w:rPr>
          <w:rFonts w:ascii="Arial" w:hAnsi="Arial" w:cs="Arial"/>
          <w:sz w:val="20"/>
          <w:szCs w:val="20"/>
        </w:rPr>
      </w:pPr>
      <w:r w:rsidRPr="005A3622">
        <w:rPr>
          <w:rFonts w:ascii="Arial" w:hAnsi="Arial" w:cs="Arial"/>
          <w:sz w:val="20"/>
          <w:szCs w:val="20"/>
        </w:rPr>
        <w:t>Amanda Hackney, Wycliffe College, “In the space of the church: An analysis of Karl Barth’s interlocutors in his lectures on John 1”</w:t>
      </w:r>
    </w:p>
    <w:p w14:paraId="2F6B6630" w14:textId="77777777" w:rsidR="0050448A" w:rsidRPr="005A3622" w:rsidRDefault="0050448A" w:rsidP="0050448A">
      <w:pPr>
        <w:rPr>
          <w:sz w:val="20"/>
          <w:szCs w:val="20"/>
        </w:rPr>
      </w:pPr>
      <w:r w:rsidRPr="005A3622">
        <w:rPr>
          <w:sz w:val="20"/>
          <w:szCs w:val="20"/>
          <w:lang w:val="en-CA"/>
        </w:rPr>
        <w:t xml:space="preserve">In his lectures on the Gospel of John, Karl Barth engages with a wide variety of exegetical and theological sources as he works through a verse-by-verse exposition of the text. Given that by the time Barth delivered these lectures in 1925 he already had a reputation for a profoundly theological reading of Scripture that was markedly different than most German scholarship of his day, the question needs to be asked: </w:t>
      </w:r>
      <w:r w:rsidRPr="005A3622">
        <w:rPr>
          <w:sz w:val="20"/>
          <w:szCs w:val="20"/>
        </w:rPr>
        <w:t>why (and how) does Barth engage with his chosen interlocutors? Why does he put theological sources like Augustine and Calvin, and modern German historical-critical scholarship, on either side of him to find that “guiding thread” of the prologue?</w:t>
      </w:r>
      <w:r w:rsidRPr="005A3622">
        <w:rPr>
          <w:rStyle w:val="FootnoteReference"/>
          <w:sz w:val="20"/>
          <w:szCs w:val="20"/>
        </w:rPr>
        <w:footnoteReference w:id="2"/>
      </w:r>
      <w:r w:rsidRPr="005A3622">
        <w:rPr>
          <w:sz w:val="20"/>
          <w:szCs w:val="20"/>
        </w:rPr>
        <w:t xml:space="preserve"> I will argue that the reason why Barth is able to hold these disparate interlocutors together is that he frames his reading of the Gospel of John so that the objective reading is the one which affirms the reality that we are baptized members of the Church.</w:t>
      </w:r>
      <w:r w:rsidRPr="005A3622">
        <w:rPr>
          <w:rStyle w:val="FootnoteReference"/>
          <w:sz w:val="20"/>
          <w:szCs w:val="20"/>
        </w:rPr>
        <w:footnoteReference w:id="3"/>
      </w:r>
      <w:r w:rsidRPr="005A3622">
        <w:rPr>
          <w:sz w:val="20"/>
          <w:szCs w:val="20"/>
        </w:rPr>
        <w:t xml:space="preserve"> The goal, whether via the ancient/theological reading or the modern historical-critical reading, is not to find the author’s (i.e., John the Evangelist) mind, but to find that to which he points. The Gospel of John is a witness, and the point of reading the Gospel of John is not to focus on the witness, but to see the revelation to which this Gospel is a witness. For Barth, the only way to do this is “</w:t>
      </w:r>
      <w:proofErr w:type="spellStart"/>
      <w:r w:rsidRPr="005A3622">
        <w:rPr>
          <w:sz w:val="20"/>
          <w:szCs w:val="20"/>
        </w:rPr>
        <w:t>im</w:t>
      </w:r>
      <w:proofErr w:type="spellEnd"/>
      <w:r w:rsidRPr="005A3622">
        <w:rPr>
          <w:sz w:val="20"/>
          <w:szCs w:val="20"/>
        </w:rPr>
        <w:t xml:space="preserve"> </w:t>
      </w:r>
      <w:proofErr w:type="spellStart"/>
      <w:r w:rsidRPr="005A3622">
        <w:rPr>
          <w:sz w:val="20"/>
          <w:szCs w:val="20"/>
        </w:rPr>
        <w:t>Raum</w:t>
      </w:r>
      <w:proofErr w:type="spellEnd"/>
      <w:r w:rsidRPr="005A3622">
        <w:rPr>
          <w:sz w:val="20"/>
          <w:szCs w:val="20"/>
        </w:rPr>
        <w:t xml:space="preserve"> der </w:t>
      </w:r>
      <w:proofErr w:type="spellStart"/>
      <w:r w:rsidRPr="005A3622">
        <w:rPr>
          <w:sz w:val="20"/>
          <w:szCs w:val="20"/>
        </w:rPr>
        <w:t>Kirche</w:t>
      </w:r>
      <w:proofErr w:type="spellEnd"/>
      <w:r w:rsidRPr="005A3622">
        <w:rPr>
          <w:sz w:val="20"/>
          <w:szCs w:val="20"/>
        </w:rPr>
        <w:t>;” in the space of the church.</w:t>
      </w:r>
    </w:p>
    <w:p w14:paraId="2F6B6631" w14:textId="77777777" w:rsidR="00A5788B" w:rsidRPr="005A3622" w:rsidRDefault="00A5788B" w:rsidP="00A5788B">
      <w:pPr>
        <w:rPr>
          <w:rFonts w:ascii="Arial" w:hAnsi="Arial" w:cs="Arial"/>
          <w:sz w:val="20"/>
          <w:szCs w:val="20"/>
        </w:rPr>
      </w:pPr>
    </w:p>
    <w:p w14:paraId="2F6B6632" w14:textId="77777777" w:rsidR="00A5788B" w:rsidRPr="005A3622" w:rsidRDefault="00A5788B" w:rsidP="00A5788B">
      <w:pPr>
        <w:rPr>
          <w:rFonts w:ascii="Arial" w:hAnsi="Arial" w:cs="Arial"/>
          <w:sz w:val="20"/>
          <w:szCs w:val="20"/>
        </w:rPr>
      </w:pPr>
      <w:r w:rsidRPr="005A3622">
        <w:rPr>
          <w:rFonts w:ascii="Arial" w:hAnsi="Arial" w:cs="Arial"/>
          <w:sz w:val="20"/>
          <w:szCs w:val="20"/>
        </w:rPr>
        <w:t>Daniel Rempel, Canadian Mennonite University, “Intellectual Disability, Community, and the Other: Karl Barth and Jean Vanier in Dialogue”</w:t>
      </w:r>
    </w:p>
    <w:p w14:paraId="2F6B6633" w14:textId="77777777" w:rsidR="00B37579" w:rsidRPr="005A3622" w:rsidRDefault="00B37579" w:rsidP="00B37579">
      <w:pPr>
        <w:rPr>
          <w:sz w:val="20"/>
          <w:szCs w:val="20"/>
        </w:rPr>
      </w:pPr>
      <w:r w:rsidRPr="005A3622">
        <w:rPr>
          <w:sz w:val="20"/>
          <w:szCs w:val="20"/>
        </w:rPr>
        <w:t xml:space="preserve">In examining the work of Karl Barth and Jean Vanier, one finds a particular emphasis on being with the other as necessary for human flourishing. In Barth, one finds a Christocentric theology which renders an understanding of humanity that finds its fullness in Jesus Christ. Humanity is able to obtain this fullness because of Jesus' eternal act of election, a gift which is given by God to all people. The Christian response to this gift is to live as witnesses to the reality that we are elected by God. In Vanier, one finds an argument for human flourishing that prioritizes inclusion of persons with intellectual disability as the heart of community. Humanity can only be made whole insofar as we live in vulnerable communion with the other, and the witness of </w:t>
      </w:r>
      <w:proofErr w:type="spellStart"/>
      <w:r w:rsidRPr="005A3622">
        <w:rPr>
          <w:sz w:val="20"/>
          <w:szCs w:val="20"/>
        </w:rPr>
        <w:t>L'Arche</w:t>
      </w:r>
      <w:proofErr w:type="spellEnd"/>
      <w:r w:rsidRPr="005A3622">
        <w:rPr>
          <w:sz w:val="20"/>
          <w:szCs w:val="20"/>
        </w:rPr>
        <w:t>, the global community of which Vanier is the founder, operates as a living manifestation of this vulnerable communion.</w:t>
      </w:r>
    </w:p>
    <w:p w14:paraId="2F6B6634" w14:textId="77777777" w:rsidR="00B37579" w:rsidRPr="005A3622" w:rsidRDefault="00B37579" w:rsidP="00B37579">
      <w:pPr>
        <w:rPr>
          <w:sz w:val="20"/>
          <w:szCs w:val="20"/>
        </w:rPr>
      </w:pPr>
      <w:r w:rsidRPr="005A3622">
        <w:rPr>
          <w:sz w:val="20"/>
          <w:szCs w:val="20"/>
        </w:rPr>
        <w:t>In this paper, I wish to engage both the work of Karl Barth and Jean Vanier to show how, read together, they provide an account of why persons with disability must be included within the life of the church. Barth and Vanier provide a rationale that insists persons with disability must not be excluded, and that in radically including persons with disability in our communities, we embrace on a journey towards greater human flourishing, both for persons with disability and able-bodied persons alike.</w:t>
      </w:r>
    </w:p>
    <w:p w14:paraId="2F6B6635" w14:textId="77777777" w:rsidR="00A5788B" w:rsidRPr="005A3622" w:rsidRDefault="00A5788B" w:rsidP="00A5788B">
      <w:pPr>
        <w:rPr>
          <w:rFonts w:ascii="Arial" w:hAnsi="Arial" w:cs="Arial"/>
          <w:sz w:val="20"/>
          <w:szCs w:val="20"/>
        </w:rPr>
      </w:pPr>
    </w:p>
    <w:p w14:paraId="2F6B6636" w14:textId="77777777" w:rsidR="00A5788B" w:rsidRPr="005A3622" w:rsidRDefault="00A5788B" w:rsidP="00A5788B">
      <w:pPr>
        <w:rPr>
          <w:rFonts w:ascii="Arial" w:hAnsi="Arial" w:cs="Arial"/>
          <w:sz w:val="20"/>
          <w:szCs w:val="20"/>
        </w:rPr>
      </w:pPr>
      <w:r w:rsidRPr="005A3622">
        <w:rPr>
          <w:rFonts w:ascii="Arial" w:hAnsi="Arial" w:cs="Arial"/>
          <w:sz w:val="20"/>
          <w:szCs w:val="20"/>
        </w:rPr>
        <w:t>Brent Rempel, Southwestern Baptist Theological Seminary</w:t>
      </w:r>
      <w:r w:rsidRPr="005A3622">
        <w:rPr>
          <w:rFonts w:ascii="Arial" w:eastAsia="Calibri" w:hAnsi="Arial" w:cs="Arial"/>
          <w:sz w:val="20"/>
          <w:szCs w:val="20"/>
        </w:rPr>
        <w:t xml:space="preserve"> and </w:t>
      </w:r>
      <w:r w:rsidRPr="005A3622">
        <w:rPr>
          <w:rFonts w:ascii="Arial" w:hAnsi="Arial" w:cs="Arial"/>
          <w:sz w:val="20"/>
          <w:szCs w:val="20"/>
        </w:rPr>
        <w:t>Providence Theological Seminary</w:t>
      </w:r>
      <w:r w:rsidRPr="005A3622">
        <w:rPr>
          <w:rFonts w:ascii="Arial" w:eastAsia="Calibri" w:hAnsi="Arial" w:cs="Arial"/>
          <w:sz w:val="20"/>
          <w:szCs w:val="20"/>
        </w:rPr>
        <w:t xml:space="preserve">, </w:t>
      </w:r>
      <w:r w:rsidRPr="005A3622">
        <w:rPr>
          <w:rFonts w:ascii="Arial" w:hAnsi="Arial" w:cs="Arial"/>
          <w:sz w:val="20"/>
          <w:szCs w:val="20"/>
        </w:rPr>
        <w:t>“Triune Perfection and Scriptural Reading in John Webster”</w:t>
      </w:r>
    </w:p>
    <w:p w14:paraId="2F6B6637" w14:textId="77777777" w:rsidR="00093029" w:rsidRPr="005A3622" w:rsidRDefault="00093029" w:rsidP="00093029">
      <w:pPr>
        <w:ind w:right="851"/>
        <w:jc w:val="both"/>
        <w:rPr>
          <w:sz w:val="20"/>
          <w:szCs w:val="20"/>
          <w:lang w:val="en-AU"/>
        </w:rPr>
      </w:pPr>
      <w:r w:rsidRPr="005A3622">
        <w:rPr>
          <w:sz w:val="20"/>
          <w:szCs w:val="20"/>
        </w:rPr>
        <w:t xml:space="preserve">John Webster’s aim of providing a distinctly theological theology shaped his understanding of scriptural reading. This paper articulates the function of the doctrine of the Trinity in constraining and enriching his understanding of interpreting Scripture in Webster’s thought. It asks, “How does the doctrine of triune </w:t>
      </w:r>
      <w:r w:rsidRPr="005A3622">
        <w:rPr>
          <w:sz w:val="20"/>
          <w:szCs w:val="20"/>
        </w:rPr>
        <w:lastRenderedPageBreak/>
        <w:t xml:space="preserve">perfection—the co-constituted antecedent life of Father, Son, and Holy Spirit—determine the church’s task of reading sacred Scripture?” According to Webster, </w:t>
      </w:r>
      <w:r w:rsidRPr="005A3622">
        <w:rPr>
          <w:iCs/>
          <w:sz w:val="20"/>
          <w:szCs w:val="20"/>
        </w:rPr>
        <w:t>the “fully realized character of God’s life in himself” is the “first truth of Christian teaching” and thus “an operative principle in any passage of theological thought.”</w:t>
      </w:r>
      <w:r w:rsidRPr="005A3622">
        <w:rPr>
          <w:iCs/>
          <w:sz w:val="20"/>
          <w:szCs w:val="20"/>
          <w:vertAlign w:val="superscript"/>
        </w:rPr>
        <w:footnoteReference w:id="4"/>
      </w:r>
      <w:r w:rsidRPr="005A3622">
        <w:rPr>
          <w:iCs/>
          <w:sz w:val="20"/>
          <w:szCs w:val="20"/>
        </w:rPr>
        <w:t xml:space="preserve"> </w:t>
      </w:r>
      <w:r w:rsidRPr="005A3622">
        <w:rPr>
          <w:sz w:val="20"/>
          <w:szCs w:val="20"/>
        </w:rPr>
        <w:t xml:space="preserve">In following the theological principle, “metaphysics governs reception,” I trace the dogmatic sequence from God’s triune perfection </w:t>
      </w:r>
      <w:r w:rsidRPr="005A3622">
        <w:rPr>
          <w:i/>
          <w:sz w:val="20"/>
          <w:szCs w:val="20"/>
        </w:rPr>
        <w:t xml:space="preserve">a se </w:t>
      </w:r>
      <w:r w:rsidRPr="005A3622">
        <w:rPr>
          <w:sz w:val="20"/>
          <w:szCs w:val="20"/>
        </w:rPr>
        <w:t xml:space="preserve">and </w:t>
      </w:r>
      <w:r w:rsidRPr="005A3622">
        <w:rPr>
          <w:i/>
          <w:sz w:val="20"/>
          <w:szCs w:val="20"/>
        </w:rPr>
        <w:t>pro nobis</w:t>
      </w:r>
      <w:r w:rsidRPr="005A3622">
        <w:rPr>
          <w:sz w:val="20"/>
          <w:szCs w:val="20"/>
        </w:rPr>
        <w:t>, through the ontology of Holy Scripture, to the ecclesial practice of scriptural reading.</w:t>
      </w:r>
      <w:r w:rsidRPr="005A3622">
        <w:rPr>
          <w:rStyle w:val="FootnoteReference"/>
          <w:sz w:val="20"/>
          <w:szCs w:val="20"/>
        </w:rPr>
        <w:footnoteReference w:id="5"/>
      </w:r>
      <w:r w:rsidRPr="005A3622">
        <w:rPr>
          <w:sz w:val="20"/>
          <w:szCs w:val="20"/>
        </w:rPr>
        <w:t xml:space="preserve"> As God’s elected and sanctified instrument, Scripture mediates the </w:t>
      </w:r>
      <w:r w:rsidRPr="005A3622">
        <w:rPr>
          <w:i/>
          <w:sz w:val="20"/>
          <w:szCs w:val="20"/>
        </w:rPr>
        <w:t xml:space="preserve">viva </w:t>
      </w:r>
      <w:proofErr w:type="spellStart"/>
      <w:r w:rsidRPr="005A3622">
        <w:rPr>
          <w:i/>
          <w:sz w:val="20"/>
          <w:szCs w:val="20"/>
        </w:rPr>
        <w:t>vox</w:t>
      </w:r>
      <w:proofErr w:type="spellEnd"/>
      <w:r w:rsidRPr="005A3622">
        <w:rPr>
          <w:i/>
          <w:sz w:val="20"/>
          <w:szCs w:val="20"/>
        </w:rPr>
        <w:t xml:space="preserve"> Dei</w:t>
      </w:r>
      <w:r w:rsidRPr="005A3622">
        <w:rPr>
          <w:sz w:val="20"/>
          <w:szCs w:val="20"/>
        </w:rPr>
        <w:t xml:space="preserve">. In situating Holy Scripture within the scope of God’s communicative action, Webster identifies scriptural reading as an act of sanctified reason, wherein created intelligence is enlivened by the Holy Spirit to comprehend the speech of the risen Christ. This creaturely act </w:t>
      </w:r>
      <w:r w:rsidRPr="005A3622">
        <w:rPr>
          <w:sz w:val="20"/>
          <w:szCs w:val="20"/>
          <w:lang w:val="en-AU"/>
        </w:rPr>
        <w:t xml:space="preserve">occurs within the sphere of God’s life-giving movement of the Word and Spirit and as such, </w:t>
      </w:r>
      <w:r w:rsidRPr="005A3622">
        <w:rPr>
          <w:sz w:val="20"/>
          <w:szCs w:val="20"/>
        </w:rPr>
        <w:t xml:space="preserve">is only grasped in its reference to God’s plentiful life. </w:t>
      </w:r>
      <w:r w:rsidRPr="005A3622">
        <w:rPr>
          <w:sz w:val="20"/>
          <w:szCs w:val="20"/>
          <w:lang w:val="en-AU"/>
        </w:rPr>
        <w:t xml:space="preserve"> </w:t>
      </w:r>
    </w:p>
    <w:p w14:paraId="2F6B6638" w14:textId="77777777" w:rsidR="00093029" w:rsidRPr="005A3622" w:rsidRDefault="00093029" w:rsidP="00A5788B">
      <w:pPr>
        <w:rPr>
          <w:rFonts w:ascii="Arial" w:eastAsia="Calibri" w:hAnsi="Arial" w:cs="Arial"/>
          <w:sz w:val="20"/>
          <w:szCs w:val="20"/>
        </w:rPr>
      </w:pPr>
    </w:p>
    <w:p w14:paraId="2F6B6639" w14:textId="77777777" w:rsidR="00A5788B" w:rsidRPr="005A3622" w:rsidRDefault="00A5788B" w:rsidP="00A5788B">
      <w:pPr>
        <w:rPr>
          <w:rFonts w:ascii="Arial" w:hAnsi="Arial" w:cs="Arial"/>
          <w:sz w:val="20"/>
          <w:szCs w:val="20"/>
        </w:rPr>
      </w:pPr>
    </w:p>
    <w:p w14:paraId="2F6B663A" w14:textId="77777777" w:rsidR="00A5788B" w:rsidRPr="005A3622" w:rsidRDefault="00A5788B" w:rsidP="00A5788B">
      <w:pPr>
        <w:rPr>
          <w:rFonts w:ascii="Arial" w:hAnsi="Arial" w:cs="Arial"/>
          <w:sz w:val="20"/>
          <w:szCs w:val="20"/>
        </w:rPr>
      </w:pPr>
      <w:r w:rsidRPr="005A3622">
        <w:rPr>
          <w:rFonts w:ascii="Arial" w:hAnsi="Arial" w:cs="Arial"/>
          <w:sz w:val="20"/>
          <w:szCs w:val="20"/>
        </w:rPr>
        <w:t>Yuri Forbes-</w:t>
      </w:r>
      <w:proofErr w:type="spellStart"/>
      <w:r w:rsidRPr="005A3622">
        <w:rPr>
          <w:rFonts w:ascii="Arial" w:hAnsi="Arial" w:cs="Arial"/>
          <w:sz w:val="20"/>
          <w:szCs w:val="20"/>
        </w:rPr>
        <w:t>Petrovich</w:t>
      </w:r>
      <w:proofErr w:type="spellEnd"/>
      <w:r w:rsidRPr="005A3622">
        <w:rPr>
          <w:rFonts w:ascii="Arial" w:eastAsia="Calibri" w:hAnsi="Arial" w:cs="Arial"/>
          <w:sz w:val="20"/>
          <w:szCs w:val="20"/>
        </w:rPr>
        <w:t xml:space="preserve">, </w:t>
      </w:r>
      <w:r w:rsidRPr="005A3622">
        <w:rPr>
          <w:rFonts w:ascii="Arial" w:hAnsi="Arial" w:cs="Arial"/>
          <w:sz w:val="20"/>
          <w:szCs w:val="20"/>
        </w:rPr>
        <w:t xml:space="preserve">Lakehead University, ““Improperly Basic”: Jacques Lacan, Reformed Epistemology, and </w:t>
      </w:r>
      <w:proofErr w:type="spellStart"/>
      <w:r w:rsidRPr="005A3622">
        <w:rPr>
          <w:rFonts w:ascii="Arial" w:hAnsi="Arial" w:cs="Arial"/>
          <w:sz w:val="20"/>
          <w:szCs w:val="20"/>
        </w:rPr>
        <w:t>Presuppositionalism</w:t>
      </w:r>
      <w:proofErr w:type="spellEnd"/>
      <w:r w:rsidRPr="005A3622">
        <w:rPr>
          <w:rFonts w:ascii="Arial" w:hAnsi="Arial" w:cs="Arial"/>
          <w:sz w:val="20"/>
          <w:szCs w:val="20"/>
        </w:rPr>
        <w:t>”</w:t>
      </w:r>
    </w:p>
    <w:p w14:paraId="2F6B663B" w14:textId="77777777" w:rsidR="00427B8F" w:rsidRPr="005A3622" w:rsidRDefault="00427B8F" w:rsidP="00427B8F">
      <w:pPr>
        <w:rPr>
          <w:sz w:val="20"/>
          <w:szCs w:val="20"/>
        </w:rPr>
      </w:pPr>
      <w:r w:rsidRPr="005A3622">
        <w:rPr>
          <w:sz w:val="20"/>
          <w:szCs w:val="20"/>
        </w:rPr>
        <w:t xml:space="preserve">Reformed theology considers belief in God “properly basic”: ultimately a rational and primary belief instead of being merely a matter of faith. The form this takes can follow Alvin Plantinga’s epistemological notion of basicness or the stronger ontological form, Cornelius Van Til’s </w:t>
      </w:r>
      <w:proofErr w:type="spellStart"/>
      <w:r w:rsidRPr="005A3622">
        <w:rPr>
          <w:sz w:val="20"/>
          <w:szCs w:val="20"/>
        </w:rPr>
        <w:t>presuppositionalism</w:t>
      </w:r>
      <w:proofErr w:type="spellEnd"/>
      <w:r w:rsidRPr="005A3622">
        <w:rPr>
          <w:sz w:val="20"/>
          <w:szCs w:val="20"/>
        </w:rPr>
        <w:t xml:space="preserve">. In the lively polemical arguments of </w:t>
      </w:r>
      <w:proofErr w:type="spellStart"/>
      <w:r w:rsidRPr="005A3622">
        <w:rPr>
          <w:sz w:val="20"/>
          <w:szCs w:val="20"/>
        </w:rPr>
        <w:t>Plantigna</w:t>
      </w:r>
      <w:proofErr w:type="spellEnd"/>
      <w:r w:rsidRPr="005A3622">
        <w:rPr>
          <w:sz w:val="20"/>
          <w:szCs w:val="20"/>
        </w:rPr>
        <w:t xml:space="preserve"> and William Craig Lane about the scriptural basis for either position the notion of </w:t>
      </w:r>
      <w:proofErr w:type="spellStart"/>
      <w:r w:rsidRPr="005A3622">
        <w:rPr>
          <w:sz w:val="20"/>
          <w:szCs w:val="20"/>
        </w:rPr>
        <w:t>petitio</w:t>
      </w:r>
      <w:proofErr w:type="spellEnd"/>
      <w:r w:rsidRPr="005A3622">
        <w:rPr>
          <w:sz w:val="20"/>
          <w:szCs w:val="20"/>
        </w:rPr>
        <w:t xml:space="preserve"> </w:t>
      </w:r>
      <w:proofErr w:type="spellStart"/>
      <w:r w:rsidRPr="005A3622">
        <w:rPr>
          <w:sz w:val="20"/>
          <w:szCs w:val="20"/>
        </w:rPr>
        <w:t>principii</w:t>
      </w:r>
      <w:proofErr w:type="spellEnd"/>
      <w:r w:rsidRPr="005A3622">
        <w:rPr>
          <w:sz w:val="20"/>
          <w:szCs w:val="20"/>
        </w:rPr>
        <w:t xml:space="preserve"> (begging the question) is left unquestioned. This study will turn towards the thought of Jacques Lacan to understand the philosophical and theological foundation of this debate.</w:t>
      </w:r>
    </w:p>
    <w:p w14:paraId="2F6B663C" w14:textId="77777777" w:rsidR="00427B8F" w:rsidRPr="005A3622" w:rsidRDefault="00427B8F" w:rsidP="00427B8F">
      <w:pPr>
        <w:rPr>
          <w:sz w:val="20"/>
          <w:szCs w:val="20"/>
        </w:rPr>
      </w:pPr>
      <w:r w:rsidRPr="005A3622">
        <w:rPr>
          <w:sz w:val="20"/>
          <w:szCs w:val="20"/>
        </w:rPr>
        <w:t xml:space="preserve">In this study I turn to the thought of Jacques Lacan to suggest that belief in God is basic but also epistemically and ontologically “improper.” Of particular relevance is </w:t>
      </w:r>
      <w:proofErr w:type="spellStart"/>
      <w:r w:rsidRPr="005A3622">
        <w:rPr>
          <w:sz w:val="20"/>
          <w:szCs w:val="20"/>
        </w:rPr>
        <w:t>Slavoj</w:t>
      </w:r>
      <w:proofErr w:type="spellEnd"/>
      <w:r w:rsidRPr="005A3622">
        <w:rPr>
          <w:sz w:val="20"/>
          <w:szCs w:val="20"/>
        </w:rPr>
        <w:t xml:space="preserve"> </w:t>
      </w:r>
      <w:proofErr w:type="spellStart"/>
      <w:r w:rsidRPr="005A3622">
        <w:rPr>
          <w:sz w:val="20"/>
          <w:szCs w:val="20"/>
        </w:rPr>
        <w:t>Žižek’s</w:t>
      </w:r>
      <w:proofErr w:type="spellEnd"/>
      <w:r w:rsidRPr="005A3622">
        <w:rPr>
          <w:sz w:val="20"/>
          <w:szCs w:val="20"/>
        </w:rPr>
        <w:t xml:space="preserve"> notion of the “unknown known,” which is essential to interrogate the epistemic status of belief in God as properly basic. Arguments of God’s necessity presume a natural theology; it is only in contingent revelation that God is not reduced to an ontological category, as </w:t>
      </w:r>
      <w:proofErr w:type="spellStart"/>
      <w:r w:rsidRPr="005A3622">
        <w:rPr>
          <w:sz w:val="20"/>
          <w:szCs w:val="20"/>
        </w:rPr>
        <w:t>Plantigna</w:t>
      </w:r>
      <w:proofErr w:type="spellEnd"/>
      <w:r w:rsidRPr="005A3622">
        <w:rPr>
          <w:sz w:val="20"/>
          <w:szCs w:val="20"/>
        </w:rPr>
        <w:t xml:space="preserve"> argues occurs within </w:t>
      </w:r>
      <w:proofErr w:type="spellStart"/>
      <w:r w:rsidRPr="005A3622">
        <w:rPr>
          <w:sz w:val="20"/>
          <w:szCs w:val="20"/>
        </w:rPr>
        <w:t>presuppositionalism</w:t>
      </w:r>
      <w:proofErr w:type="spellEnd"/>
      <w:r w:rsidRPr="005A3622">
        <w:rPr>
          <w:sz w:val="20"/>
          <w:szCs w:val="20"/>
        </w:rPr>
        <w:t xml:space="preserve">. God’s existence is removed from the tradition of being as a predicate in lieu of its understanding as Event, as Alain </w:t>
      </w:r>
      <w:proofErr w:type="spellStart"/>
      <w:r w:rsidRPr="005A3622">
        <w:rPr>
          <w:sz w:val="20"/>
          <w:szCs w:val="20"/>
        </w:rPr>
        <w:t>Badiou</w:t>
      </w:r>
      <w:proofErr w:type="spellEnd"/>
      <w:r w:rsidRPr="005A3622">
        <w:rPr>
          <w:sz w:val="20"/>
          <w:szCs w:val="20"/>
        </w:rPr>
        <w:t xml:space="preserve"> defines in </w:t>
      </w:r>
      <w:r w:rsidRPr="005A3622">
        <w:rPr>
          <w:i/>
          <w:sz w:val="20"/>
          <w:szCs w:val="20"/>
        </w:rPr>
        <w:t>Being and Event</w:t>
      </w:r>
      <w:r w:rsidRPr="005A3622">
        <w:rPr>
          <w:sz w:val="20"/>
          <w:szCs w:val="20"/>
        </w:rPr>
        <w:t>, which provides the Christian basis for considerations of warrant (</w:t>
      </w:r>
      <w:proofErr w:type="spellStart"/>
      <w:r w:rsidRPr="005A3622">
        <w:rPr>
          <w:sz w:val="20"/>
          <w:szCs w:val="20"/>
        </w:rPr>
        <w:t>Plantigna</w:t>
      </w:r>
      <w:proofErr w:type="spellEnd"/>
      <w:r w:rsidRPr="005A3622">
        <w:rPr>
          <w:sz w:val="20"/>
          <w:szCs w:val="20"/>
        </w:rPr>
        <w:t>) and presupposition directly (Lane). God is neither arbitrarily selected nor a logical category—God being precedes either and is therefore both basic and epistemically and ontologically improper.</w:t>
      </w:r>
    </w:p>
    <w:p w14:paraId="2F6B663D" w14:textId="77777777" w:rsidR="00A5788B" w:rsidRPr="005A3622" w:rsidRDefault="00A5788B" w:rsidP="00E01A0C">
      <w:pPr>
        <w:rPr>
          <w:rFonts w:ascii="Arial" w:hAnsi="Arial" w:cs="Arial"/>
          <w:sz w:val="20"/>
          <w:szCs w:val="20"/>
        </w:rPr>
      </w:pPr>
    </w:p>
    <w:p w14:paraId="2F6B663E" w14:textId="77777777" w:rsidR="00A5788B" w:rsidRPr="005A3622" w:rsidRDefault="00A5788B" w:rsidP="00A5788B">
      <w:pPr>
        <w:tabs>
          <w:tab w:val="left" w:pos="1520"/>
        </w:tabs>
        <w:rPr>
          <w:rFonts w:ascii="Arial" w:hAnsi="Arial" w:cs="Arial"/>
          <w:bCs/>
          <w:sz w:val="20"/>
          <w:szCs w:val="20"/>
        </w:rPr>
      </w:pPr>
      <w:r w:rsidRPr="005A3622">
        <w:rPr>
          <w:rFonts w:ascii="Arial" w:hAnsi="Arial" w:cs="Arial"/>
          <w:b/>
          <w:bCs/>
          <w:sz w:val="20"/>
          <w:szCs w:val="20"/>
        </w:rPr>
        <w:t>11:15–11:30 a.m.</w:t>
      </w:r>
      <w:r w:rsidRPr="005A3622">
        <w:rPr>
          <w:rFonts w:ascii="Arial" w:hAnsi="Arial" w:cs="Arial"/>
          <w:b/>
          <w:bCs/>
          <w:sz w:val="20"/>
          <w:szCs w:val="20"/>
        </w:rPr>
        <w:tab/>
        <w:t>Break</w:t>
      </w:r>
    </w:p>
    <w:p w14:paraId="2F6B663F" w14:textId="77777777" w:rsidR="00A5788B" w:rsidRPr="005A3622" w:rsidRDefault="00A5788B" w:rsidP="00A5788B">
      <w:pPr>
        <w:tabs>
          <w:tab w:val="left" w:pos="1560"/>
        </w:tabs>
        <w:rPr>
          <w:rFonts w:ascii="Arial" w:hAnsi="Arial" w:cs="Arial"/>
          <w:b/>
          <w:bCs/>
          <w:sz w:val="20"/>
          <w:szCs w:val="20"/>
        </w:rPr>
      </w:pPr>
      <w:r w:rsidRPr="005A3622">
        <w:rPr>
          <w:rFonts w:ascii="Arial" w:hAnsi="Arial" w:cs="Arial"/>
          <w:b/>
          <w:bCs/>
          <w:sz w:val="20"/>
          <w:szCs w:val="20"/>
        </w:rPr>
        <w:tab/>
      </w:r>
    </w:p>
    <w:p w14:paraId="2F6B6640" w14:textId="77777777" w:rsidR="00A5788B" w:rsidRPr="005A3622" w:rsidRDefault="00A5788B" w:rsidP="00A5788B">
      <w:pPr>
        <w:rPr>
          <w:rFonts w:ascii="Arial" w:hAnsi="Arial" w:cs="Arial"/>
          <w:b/>
          <w:bCs/>
          <w:sz w:val="20"/>
          <w:szCs w:val="20"/>
        </w:rPr>
      </w:pPr>
      <w:r w:rsidRPr="005A3622">
        <w:rPr>
          <w:rFonts w:ascii="Arial" w:hAnsi="Arial" w:cs="Arial"/>
          <w:b/>
          <w:bCs/>
          <w:sz w:val="20"/>
          <w:szCs w:val="20"/>
        </w:rPr>
        <w:t>11:30 a.m.–12:00 p.m. CATA 2017 Business Meeting, Room CL 135</w:t>
      </w:r>
    </w:p>
    <w:p w14:paraId="2F6B6641" w14:textId="77777777" w:rsidR="00A5788B" w:rsidRPr="005A3622" w:rsidRDefault="00A5788B" w:rsidP="00A5788B">
      <w:pPr>
        <w:tabs>
          <w:tab w:val="left" w:pos="1580"/>
        </w:tabs>
        <w:rPr>
          <w:rFonts w:ascii="Arial" w:hAnsi="Arial" w:cs="Arial"/>
          <w:b/>
          <w:bCs/>
          <w:sz w:val="20"/>
          <w:szCs w:val="20"/>
        </w:rPr>
      </w:pPr>
      <w:r w:rsidRPr="005A3622">
        <w:rPr>
          <w:rFonts w:ascii="Arial" w:hAnsi="Arial" w:cs="Arial"/>
          <w:b/>
          <w:bCs/>
          <w:sz w:val="20"/>
          <w:szCs w:val="20"/>
        </w:rPr>
        <w:tab/>
      </w:r>
    </w:p>
    <w:p w14:paraId="2F6B6642" w14:textId="77777777" w:rsidR="00A5788B" w:rsidRPr="005A3622" w:rsidRDefault="00A5788B" w:rsidP="00A5788B">
      <w:pPr>
        <w:rPr>
          <w:rFonts w:ascii="Arial" w:hAnsi="Arial" w:cs="Arial"/>
          <w:bCs/>
          <w:sz w:val="20"/>
          <w:szCs w:val="20"/>
        </w:rPr>
      </w:pPr>
      <w:r w:rsidRPr="005A3622">
        <w:rPr>
          <w:rFonts w:ascii="Arial" w:hAnsi="Arial" w:cs="Arial"/>
          <w:b/>
          <w:bCs/>
          <w:sz w:val="20"/>
          <w:szCs w:val="20"/>
        </w:rPr>
        <w:t>12:00- 1:30 p.m.</w:t>
      </w:r>
      <w:r w:rsidRPr="005A3622">
        <w:rPr>
          <w:rFonts w:ascii="Arial" w:hAnsi="Arial" w:cs="Arial"/>
          <w:b/>
          <w:bCs/>
          <w:sz w:val="20"/>
          <w:szCs w:val="20"/>
        </w:rPr>
        <w:tab/>
        <w:t>Lunch</w:t>
      </w:r>
    </w:p>
    <w:p w14:paraId="2F6B6643" w14:textId="77777777" w:rsidR="00A5788B" w:rsidRPr="005A3622" w:rsidRDefault="00A5788B" w:rsidP="00A5788B">
      <w:pPr>
        <w:tabs>
          <w:tab w:val="left" w:pos="1300"/>
        </w:tabs>
        <w:rPr>
          <w:rFonts w:ascii="Arial" w:hAnsi="Arial" w:cs="Arial"/>
          <w:bCs/>
          <w:sz w:val="20"/>
          <w:szCs w:val="20"/>
        </w:rPr>
      </w:pPr>
      <w:r w:rsidRPr="005A3622">
        <w:rPr>
          <w:rFonts w:ascii="Arial" w:hAnsi="Arial" w:cs="Arial"/>
          <w:bCs/>
          <w:sz w:val="20"/>
          <w:szCs w:val="20"/>
        </w:rPr>
        <w:tab/>
      </w:r>
    </w:p>
    <w:p w14:paraId="2F6B6644" w14:textId="77777777" w:rsidR="00A5788B" w:rsidRPr="005A3622" w:rsidRDefault="00A5788B" w:rsidP="00A5788B">
      <w:pPr>
        <w:rPr>
          <w:rFonts w:ascii="Arial" w:hAnsi="Arial" w:cs="Arial"/>
          <w:b/>
          <w:sz w:val="20"/>
          <w:szCs w:val="20"/>
        </w:rPr>
      </w:pPr>
      <w:r w:rsidRPr="005A3622">
        <w:rPr>
          <w:rFonts w:ascii="Arial" w:hAnsi="Arial" w:cs="Arial"/>
          <w:b/>
          <w:sz w:val="20"/>
          <w:szCs w:val="20"/>
        </w:rPr>
        <w:t xml:space="preserve">1:30–4:00 p.m.  Session Two – sections A and B will join for the final paper and Closing Led by Gus Konkel </w:t>
      </w:r>
    </w:p>
    <w:p w14:paraId="2F6B6645" w14:textId="77777777" w:rsidR="00A5788B" w:rsidRPr="005A3622" w:rsidRDefault="00A5788B" w:rsidP="00A5788B">
      <w:pPr>
        <w:rPr>
          <w:rFonts w:ascii="Arial" w:hAnsi="Arial" w:cs="Arial"/>
          <w:b/>
          <w:sz w:val="20"/>
          <w:szCs w:val="20"/>
        </w:rPr>
      </w:pPr>
    </w:p>
    <w:p w14:paraId="2F6B6646" w14:textId="77777777" w:rsidR="00A5788B" w:rsidRPr="005A3622" w:rsidRDefault="00A5788B" w:rsidP="00A5788B">
      <w:pPr>
        <w:rPr>
          <w:rFonts w:ascii="Arial" w:hAnsi="Arial" w:cs="Arial"/>
          <w:b/>
          <w:sz w:val="20"/>
          <w:szCs w:val="20"/>
        </w:rPr>
      </w:pPr>
      <w:r w:rsidRPr="005A3622">
        <w:rPr>
          <w:rFonts w:ascii="Arial" w:hAnsi="Arial" w:cs="Arial"/>
          <w:b/>
          <w:sz w:val="20"/>
          <w:szCs w:val="20"/>
        </w:rPr>
        <w:t>Section A. Chair: Marion Taylor, Room CL 135</w:t>
      </w:r>
    </w:p>
    <w:p w14:paraId="2F6B6647" w14:textId="77777777" w:rsidR="00E01A0C" w:rsidRPr="005A3622" w:rsidRDefault="00E01A0C" w:rsidP="00A5788B">
      <w:pPr>
        <w:rPr>
          <w:rFonts w:ascii="Arial" w:hAnsi="Arial" w:cs="Arial"/>
          <w:b/>
          <w:sz w:val="20"/>
          <w:szCs w:val="20"/>
        </w:rPr>
      </w:pPr>
    </w:p>
    <w:p w14:paraId="2F6B6648" w14:textId="77777777" w:rsidR="00A5788B" w:rsidRPr="005A3622" w:rsidRDefault="00A5788B" w:rsidP="00A5788B">
      <w:pPr>
        <w:widowControl w:val="0"/>
        <w:autoSpaceDE w:val="0"/>
        <w:autoSpaceDN w:val="0"/>
        <w:adjustRightInd w:val="0"/>
        <w:rPr>
          <w:rFonts w:ascii="Arial" w:hAnsi="Arial" w:cs="Arial"/>
          <w:sz w:val="20"/>
          <w:szCs w:val="20"/>
        </w:rPr>
      </w:pPr>
      <w:r w:rsidRPr="005A3622">
        <w:rPr>
          <w:rFonts w:ascii="Arial" w:hAnsi="Arial" w:cs="Arial"/>
          <w:sz w:val="20"/>
          <w:szCs w:val="20"/>
        </w:rPr>
        <w:t>Nate Wall, Wycliffe College, “God the Metaphysical Poet: Contradiction and Divine Speech in John Donne’s Biblical Interpretation”</w:t>
      </w:r>
    </w:p>
    <w:p w14:paraId="2F6B6649" w14:textId="77777777" w:rsidR="00A5788B" w:rsidRPr="005A3622" w:rsidRDefault="00A5788B" w:rsidP="00A5788B">
      <w:pPr>
        <w:widowControl w:val="0"/>
        <w:autoSpaceDE w:val="0"/>
        <w:autoSpaceDN w:val="0"/>
        <w:adjustRightInd w:val="0"/>
        <w:rPr>
          <w:sz w:val="20"/>
          <w:szCs w:val="20"/>
        </w:rPr>
      </w:pPr>
      <w:r w:rsidRPr="005A3622">
        <w:rPr>
          <w:sz w:val="20"/>
          <w:szCs w:val="20"/>
        </w:rPr>
        <w:t>The Christian Bible speaks of a God who is one but also three, who repents but never repents, who defies representation and yet self-casts in human flesh, who saves by grace alone but judges according to works. All biblical interpretation must answer the challenge of contradiction. Often enough, interpreters dodge or downplay these antinomies in order to guard divine speech from incoherence. But what if, as Hebrew Bible critic Yvonne Sherwood puts it, a “poetics of transgression defines the voice of God itself”? How would an interpreter treat contradictory speech as the hallmark of divine style?</w:t>
      </w:r>
    </w:p>
    <w:p w14:paraId="2F6B664A" w14:textId="77777777" w:rsidR="00A5788B" w:rsidRPr="005A3622" w:rsidRDefault="00A5788B" w:rsidP="00A5788B">
      <w:pPr>
        <w:widowControl w:val="0"/>
        <w:autoSpaceDE w:val="0"/>
        <w:autoSpaceDN w:val="0"/>
        <w:adjustRightInd w:val="0"/>
        <w:rPr>
          <w:sz w:val="20"/>
          <w:szCs w:val="20"/>
        </w:rPr>
      </w:pPr>
      <w:r w:rsidRPr="005A3622">
        <w:rPr>
          <w:sz w:val="20"/>
          <w:szCs w:val="20"/>
        </w:rPr>
        <w:t>In this paper I explore that question using the religious prose of 17th century poet-preacher John Donne. As the poster child of the so-called “metaphysical poets,” Donne developed a reputation for trafficking in language-</w:t>
      </w:r>
      <w:r w:rsidRPr="005A3622">
        <w:rPr>
          <w:sz w:val="20"/>
          <w:szCs w:val="20"/>
        </w:rPr>
        <w:lastRenderedPageBreak/>
        <w:t xml:space="preserve">fracturing paradox, penning poems in which the “most heterogeneous ideas are yoked by violence together,” as Samuel Johnson later wrote. Putting aside the poetry for which he is best known, I will chart Donne’s quest for contradiction in his biblical interpretation. Through close-readings of Donne’s reflections on ‘the fear of the Lord’ in his </w:t>
      </w:r>
      <w:r w:rsidRPr="005A3622">
        <w:rPr>
          <w:i/>
          <w:iCs/>
          <w:sz w:val="20"/>
          <w:szCs w:val="20"/>
        </w:rPr>
        <w:t>Devotions Upon Emergent Occasions</w:t>
      </w:r>
      <w:r w:rsidRPr="005A3622">
        <w:rPr>
          <w:sz w:val="20"/>
          <w:szCs w:val="20"/>
        </w:rPr>
        <w:t xml:space="preserve"> and of his sermon series on Psalm 38, I will argue (1) that Donne treats God as a metaphysical poet, (2) that Donne is best understood as a biblical interpreter who seeks to read and write ‘after God’s copy’ and (3) that Donne seeks out contradiction in order to produce in himself and his hearers what I will call “figural combustion.” </w:t>
      </w:r>
    </w:p>
    <w:p w14:paraId="2F6B664B" w14:textId="77777777" w:rsidR="00A5788B" w:rsidRPr="005A3622" w:rsidRDefault="00A5788B" w:rsidP="00A5788B">
      <w:pPr>
        <w:widowControl w:val="0"/>
        <w:autoSpaceDE w:val="0"/>
        <w:autoSpaceDN w:val="0"/>
        <w:adjustRightInd w:val="0"/>
        <w:rPr>
          <w:rFonts w:ascii="Arial" w:hAnsi="Arial" w:cs="Arial"/>
          <w:sz w:val="20"/>
          <w:szCs w:val="20"/>
        </w:rPr>
      </w:pPr>
    </w:p>
    <w:p w14:paraId="2F6B664C" w14:textId="77777777" w:rsidR="00A5788B" w:rsidRPr="005A3622" w:rsidRDefault="00A5788B" w:rsidP="00A5788B">
      <w:pPr>
        <w:rPr>
          <w:rFonts w:ascii="Arial" w:eastAsia="Times New Roman" w:hAnsi="Arial" w:cs="Arial"/>
          <w:color w:val="333333"/>
          <w:sz w:val="20"/>
          <w:szCs w:val="20"/>
          <w:shd w:val="clear" w:color="auto" w:fill="FFFFFF"/>
        </w:rPr>
      </w:pPr>
      <w:r w:rsidRPr="005A3622">
        <w:rPr>
          <w:rFonts w:ascii="Arial" w:hAnsi="Arial" w:cs="Arial"/>
          <w:sz w:val="20"/>
          <w:szCs w:val="20"/>
        </w:rPr>
        <w:t>Maria Power, University of London, “</w:t>
      </w:r>
      <w:r w:rsidRPr="005A3622">
        <w:rPr>
          <w:rFonts w:ascii="Arial" w:eastAsia="Times New Roman" w:hAnsi="Arial" w:cs="Arial"/>
          <w:color w:val="333333"/>
          <w:sz w:val="20"/>
          <w:szCs w:val="20"/>
          <w:shd w:val="clear" w:color="auto" w:fill="FFFFFF"/>
        </w:rPr>
        <w:t>Food Banks as Sites of Theological Reflection: a new method of faith-based engagement in the public square?”</w:t>
      </w:r>
    </w:p>
    <w:p w14:paraId="2F6B664D" w14:textId="77777777" w:rsidR="00CB5A5C" w:rsidRPr="005A3622" w:rsidRDefault="00CB5A5C" w:rsidP="00CB5A5C">
      <w:pPr>
        <w:rPr>
          <w:rFonts w:eastAsia="Times New Roman"/>
          <w:color w:val="333333"/>
          <w:sz w:val="20"/>
          <w:szCs w:val="20"/>
          <w:shd w:val="clear" w:color="auto" w:fill="FFFFFF"/>
        </w:rPr>
      </w:pPr>
      <w:r w:rsidRPr="005A3622">
        <w:rPr>
          <w:rFonts w:eastAsia="Times New Roman"/>
          <w:color w:val="333333"/>
          <w:sz w:val="20"/>
          <w:szCs w:val="20"/>
          <w:shd w:val="clear" w:color="auto" w:fill="FFFFFF"/>
        </w:rPr>
        <w:t xml:space="preserve">Since the 2008 economic crash in Britain, and subsequent politics of austerity promoted first by the Conservative-Liberal Coalition and subsequently by the Conservative Government, many of the poorest members of society, both employed and unemployed, have found themselves using food banks. For example, recent research has calculated that there are now 2024 food banks in the UK, many of which are run by faith-based </w:t>
      </w:r>
      <w:proofErr w:type="spellStart"/>
      <w:r w:rsidRPr="005A3622">
        <w:rPr>
          <w:rFonts w:eastAsia="Times New Roman"/>
          <w:color w:val="333333"/>
          <w:sz w:val="20"/>
          <w:szCs w:val="20"/>
          <w:shd w:val="clear" w:color="auto" w:fill="FFFFFF"/>
        </w:rPr>
        <w:t>organisations</w:t>
      </w:r>
      <w:proofErr w:type="spellEnd"/>
      <w:r w:rsidRPr="005A3622">
        <w:rPr>
          <w:rFonts w:eastAsia="Times New Roman"/>
          <w:color w:val="333333"/>
          <w:sz w:val="20"/>
          <w:szCs w:val="20"/>
          <w:shd w:val="clear" w:color="auto" w:fill="FFFFFF"/>
        </w:rPr>
        <w:t xml:space="preserve">, the demand for which is rising every year. The urgency of the need expressed by food bank users necessitates the </w:t>
      </w:r>
      <w:proofErr w:type="spellStart"/>
      <w:r w:rsidRPr="005A3622">
        <w:rPr>
          <w:rFonts w:eastAsia="Times New Roman"/>
          <w:color w:val="333333"/>
          <w:sz w:val="20"/>
          <w:szCs w:val="20"/>
          <w:shd w:val="clear" w:color="auto" w:fill="FFFFFF"/>
        </w:rPr>
        <w:t>prioritisation</w:t>
      </w:r>
      <w:proofErr w:type="spellEnd"/>
      <w:r w:rsidRPr="005A3622">
        <w:rPr>
          <w:rFonts w:eastAsia="Times New Roman"/>
          <w:color w:val="333333"/>
          <w:sz w:val="20"/>
          <w:szCs w:val="20"/>
          <w:shd w:val="clear" w:color="auto" w:fill="FFFFFF"/>
        </w:rPr>
        <w:t xml:space="preserve"> of charity over justice, meaning that the causes of such inequality are not addressed. Indeed, many volunteers feel that “they are fire-fighting, finding a way to deal with the logistics of feeding more and more people, with no time to advocate for changes that would eradicate the need for food banks in the first place.”</w:t>
      </w:r>
      <w:r w:rsidRPr="005A3622">
        <w:rPr>
          <w:rStyle w:val="FootnoteReference"/>
          <w:rFonts w:eastAsia="Times New Roman"/>
          <w:color w:val="333333"/>
          <w:sz w:val="20"/>
          <w:szCs w:val="20"/>
          <w:shd w:val="clear" w:color="auto" w:fill="FFFFFF"/>
        </w:rPr>
        <w:footnoteReference w:id="6"/>
      </w:r>
      <w:r w:rsidRPr="005A3622">
        <w:rPr>
          <w:rFonts w:eastAsia="Times New Roman"/>
          <w:color w:val="333333"/>
          <w:sz w:val="20"/>
          <w:szCs w:val="20"/>
          <w:shd w:val="clear" w:color="auto" w:fill="FFFFFF"/>
        </w:rPr>
        <w:t xml:space="preserve"> </w:t>
      </w:r>
    </w:p>
    <w:p w14:paraId="2F6B664E" w14:textId="77777777" w:rsidR="00CB5A5C" w:rsidRPr="005A3622" w:rsidRDefault="00CB5A5C" w:rsidP="00CB5A5C">
      <w:pPr>
        <w:rPr>
          <w:rFonts w:eastAsia="Times New Roman"/>
          <w:color w:val="333333"/>
          <w:sz w:val="20"/>
          <w:szCs w:val="20"/>
          <w:shd w:val="clear" w:color="auto" w:fill="FFFFFF"/>
        </w:rPr>
      </w:pPr>
      <w:r w:rsidRPr="005A3622">
        <w:rPr>
          <w:rFonts w:eastAsia="Times New Roman"/>
          <w:color w:val="333333"/>
          <w:sz w:val="20"/>
          <w:szCs w:val="20"/>
          <w:shd w:val="clear" w:color="auto" w:fill="FFFFFF"/>
        </w:rPr>
        <w:t xml:space="preserve">Ethnographic research carried out by Williams, </w:t>
      </w:r>
      <w:proofErr w:type="spellStart"/>
      <w:r w:rsidRPr="005A3622">
        <w:rPr>
          <w:rFonts w:eastAsia="Times New Roman"/>
          <w:color w:val="333333"/>
          <w:sz w:val="20"/>
          <w:szCs w:val="20"/>
          <w:shd w:val="clear" w:color="auto" w:fill="FFFFFF"/>
        </w:rPr>
        <w:t>Cloke</w:t>
      </w:r>
      <w:proofErr w:type="spellEnd"/>
      <w:r w:rsidRPr="005A3622">
        <w:rPr>
          <w:rFonts w:eastAsia="Times New Roman"/>
          <w:color w:val="333333"/>
          <w:sz w:val="20"/>
          <w:szCs w:val="20"/>
          <w:shd w:val="clear" w:color="auto" w:fill="FFFFFF"/>
        </w:rPr>
        <w:t>, May, and Goodwin</w:t>
      </w:r>
      <w:r w:rsidRPr="005A3622">
        <w:rPr>
          <w:rStyle w:val="FootnoteReference"/>
          <w:rFonts w:eastAsia="Times New Roman"/>
          <w:color w:val="333333"/>
          <w:sz w:val="20"/>
          <w:szCs w:val="20"/>
          <w:shd w:val="clear" w:color="auto" w:fill="FFFFFF"/>
        </w:rPr>
        <w:footnoteReference w:id="7"/>
      </w:r>
      <w:r w:rsidRPr="005A3622">
        <w:rPr>
          <w:rFonts w:eastAsia="Times New Roman"/>
          <w:color w:val="333333"/>
          <w:sz w:val="20"/>
          <w:szCs w:val="20"/>
          <w:shd w:val="clear" w:color="auto" w:fill="FFFFFF"/>
        </w:rPr>
        <w:t xml:space="preserve"> suggests a strong desire exists amongst food bank volunteers to advocate for such change through a process of theological reflection. This will enable them to speak with a unified voice, based upon faith-teachings on issues such as human dignity and a moral economy in the public square which will transform faith-based </w:t>
      </w:r>
      <w:proofErr w:type="spellStart"/>
      <w:r w:rsidRPr="005A3622">
        <w:rPr>
          <w:rFonts w:eastAsia="Times New Roman"/>
          <w:color w:val="333333"/>
          <w:sz w:val="20"/>
          <w:szCs w:val="20"/>
          <w:shd w:val="clear" w:color="auto" w:fill="FFFFFF"/>
        </w:rPr>
        <w:t>organisations</w:t>
      </w:r>
      <w:proofErr w:type="spellEnd"/>
      <w:r w:rsidRPr="005A3622">
        <w:rPr>
          <w:rFonts w:eastAsia="Times New Roman"/>
          <w:color w:val="333333"/>
          <w:sz w:val="20"/>
          <w:szCs w:val="20"/>
          <w:shd w:val="clear" w:color="auto" w:fill="FFFFFF"/>
        </w:rPr>
        <w:t xml:space="preserve"> from service providers into spaces of justice and societal transformation. </w:t>
      </w:r>
    </w:p>
    <w:p w14:paraId="2F6B664F" w14:textId="77777777" w:rsidR="00CB5A5C" w:rsidRPr="005A3622" w:rsidRDefault="00CB5A5C" w:rsidP="00CB5A5C">
      <w:pPr>
        <w:rPr>
          <w:rFonts w:eastAsia="Times New Roman"/>
          <w:color w:val="333333"/>
          <w:sz w:val="20"/>
          <w:szCs w:val="20"/>
          <w:shd w:val="clear" w:color="auto" w:fill="FFFFFF"/>
        </w:rPr>
      </w:pPr>
      <w:r w:rsidRPr="005A3622">
        <w:rPr>
          <w:rFonts w:eastAsia="Times New Roman"/>
          <w:color w:val="333333"/>
          <w:sz w:val="20"/>
          <w:szCs w:val="20"/>
          <w:shd w:val="clear" w:color="auto" w:fill="FFFFFF"/>
        </w:rPr>
        <w:t xml:space="preserve">Using initial findings from research and dialogue with a group of food banks in one of the most deprived regions in the UK, this paper will suggest a method to facilitate such a process and in doing so will enable faith-based volunteers to once more find their voice in the public square. </w:t>
      </w:r>
    </w:p>
    <w:p w14:paraId="2F6B6650" w14:textId="77777777" w:rsidR="00A5788B" w:rsidRPr="005A3622" w:rsidRDefault="00A5788B" w:rsidP="00A57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F6B6651" w14:textId="77777777" w:rsidR="00A5788B" w:rsidRPr="005A3622" w:rsidRDefault="00A5788B" w:rsidP="00A5788B">
      <w:pPr>
        <w:rPr>
          <w:rFonts w:ascii="Arial" w:hAnsi="Arial" w:cs="Arial"/>
          <w:sz w:val="20"/>
          <w:szCs w:val="20"/>
        </w:rPr>
      </w:pPr>
      <w:r w:rsidRPr="005A3622">
        <w:rPr>
          <w:rFonts w:ascii="Arial" w:hAnsi="Arial" w:cs="Arial"/>
          <w:sz w:val="20"/>
          <w:szCs w:val="20"/>
        </w:rPr>
        <w:t>Lee, Beach, McMaster Divinity School, “Learning the Language of Exile: Forming Congregations for Life in Post-Christendom”</w:t>
      </w:r>
    </w:p>
    <w:p w14:paraId="2F6B6652" w14:textId="77777777" w:rsidR="00E25BF8" w:rsidRPr="005A3622" w:rsidRDefault="00E25BF8" w:rsidP="00E25BF8">
      <w:pPr>
        <w:rPr>
          <w:rFonts w:eastAsia="Calibri"/>
          <w:sz w:val="20"/>
          <w:szCs w:val="20"/>
        </w:rPr>
      </w:pPr>
      <w:r w:rsidRPr="005A3622">
        <w:rPr>
          <w:rFonts w:eastAsia="Calibri"/>
          <w:sz w:val="20"/>
          <w:szCs w:val="20"/>
        </w:rPr>
        <w:t xml:space="preserve">In this time of rapid, deep and unprecedented cultural change in North America the church finds itself slowly, but steadily being moved to the margins of the culture. No longer a central player in public life, the church itself is also in a time of deep change. It must determine ways of moving forward with its mission despite the challenges of a new and evolving set of circumstances. This is not the first time God’s people have found themselves on the margins and adapting to massive change. Babylonian exile was a time of great upheaval for the people of Judah. While certainly different in its circumstances, the marginalization of the church in contemporary North America invites consideration of the biblical resources generated by the experience of ancient exile as a way to inform its own journey in uncharted territory. The prayer language of exile offers us a paradigm for engaging with God in the midst of our experience of exile. In particular the biblical book of Lamentations and a number of Psalms (44, 74, 79, 89, 102, 106 and 137) provide language that helped Israel express the depths of their struggle in the midst of their exilic experience. Through the language of exilic prayer, we encounter the bold language of lament, remembrance, reorientation, and hope. These acts of prayerful speech were at the core of forming the ancient community in a way that sustained it and ultimately gave it hope for its ongoing life and mission. This paper will seek to demonstrate how employing these forms of exilic speech can contribute to the formation of missional congregations in the post-Christian context of North America today. </w:t>
      </w:r>
    </w:p>
    <w:p w14:paraId="2F6B6653" w14:textId="77777777" w:rsidR="00A5788B" w:rsidRPr="005A3622" w:rsidRDefault="00A5788B" w:rsidP="00A5788B">
      <w:pPr>
        <w:rPr>
          <w:rFonts w:ascii="Arial" w:hAnsi="Arial" w:cs="Arial"/>
          <w:sz w:val="20"/>
          <w:szCs w:val="20"/>
        </w:rPr>
      </w:pPr>
    </w:p>
    <w:p w14:paraId="2F6B6654" w14:textId="77777777" w:rsidR="00A5788B" w:rsidRPr="005A3622" w:rsidRDefault="00A5788B" w:rsidP="00A5788B">
      <w:pPr>
        <w:rPr>
          <w:rFonts w:ascii="Arial" w:hAnsi="Arial" w:cs="Arial"/>
          <w:sz w:val="20"/>
          <w:szCs w:val="20"/>
        </w:rPr>
      </w:pPr>
      <w:r w:rsidRPr="005A3622">
        <w:rPr>
          <w:rFonts w:ascii="Arial" w:hAnsi="Arial" w:cs="Arial"/>
          <w:sz w:val="20"/>
          <w:szCs w:val="20"/>
        </w:rPr>
        <w:t xml:space="preserve">Ryan Turnbull, </w:t>
      </w:r>
      <w:proofErr w:type="spellStart"/>
      <w:r w:rsidRPr="005A3622">
        <w:rPr>
          <w:rFonts w:ascii="Arial" w:hAnsi="Arial" w:cs="Arial"/>
          <w:sz w:val="20"/>
          <w:szCs w:val="20"/>
        </w:rPr>
        <w:t>Thorneloe</w:t>
      </w:r>
      <w:proofErr w:type="spellEnd"/>
      <w:r w:rsidRPr="005A3622">
        <w:rPr>
          <w:rFonts w:ascii="Arial" w:hAnsi="Arial" w:cs="Arial"/>
          <w:sz w:val="20"/>
          <w:szCs w:val="20"/>
        </w:rPr>
        <w:t xml:space="preserve"> University, “Toward a Christian Grammar of Place: Wendell Berry and Linguistic Theology after Wittgenstein”</w:t>
      </w:r>
    </w:p>
    <w:p w14:paraId="2F6B6655" w14:textId="77777777" w:rsidR="00562CF8" w:rsidRPr="005A3622" w:rsidRDefault="00562CF8" w:rsidP="00562CF8">
      <w:pPr>
        <w:rPr>
          <w:sz w:val="20"/>
          <w:szCs w:val="20"/>
        </w:rPr>
      </w:pPr>
      <w:r w:rsidRPr="005A3622">
        <w:rPr>
          <w:sz w:val="20"/>
          <w:szCs w:val="20"/>
        </w:rPr>
        <w:t>Implicit in the theme, “Gathering Diversities,” is a concept of ‘place.’ Place has been, and continues to be an ambiguous concept in the Christian tradition. My paper will seek to begin an articulation of a Christo-centric theology of place by using recent advancements in linguistic theology to interrogate the work of Wendell Berry.</w:t>
      </w:r>
    </w:p>
    <w:p w14:paraId="2F6B6656" w14:textId="77777777" w:rsidR="00562CF8" w:rsidRPr="005A3622" w:rsidRDefault="00562CF8" w:rsidP="00562CF8">
      <w:pPr>
        <w:rPr>
          <w:sz w:val="20"/>
          <w:szCs w:val="20"/>
        </w:rPr>
      </w:pPr>
      <w:r w:rsidRPr="005A3622">
        <w:rPr>
          <w:sz w:val="20"/>
          <w:szCs w:val="20"/>
        </w:rPr>
        <w:lastRenderedPageBreak/>
        <w:t xml:space="preserve">The greatest contemporary theologian of place can be none other than the farmer, Wendell Berry. In his most recent book, </w:t>
      </w:r>
      <w:r w:rsidRPr="005A3622">
        <w:rPr>
          <w:i/>
          <w:sz w:val="20"/>
          <w:szCs w:val="20"/>
        </w:rPr>
        <w:t>The Art of Loading Brush</w:t>
      </w:r>
      <w:r w:rsidRPr="005A3622">
        <w:rPr>
          <w:sz w:val="20"/>
          <w:szCs w:val="20"/>
        </w:rPr>
        <w:t>, Berry notes that this is his latest contribution to a much larger, and ongoing, “public conversation about the relationship of our lives, and of our communal and economic life, to the lands we live from.”</w:t>
      </w:r>
      <w:r w:rsidRPr="005A3622">
        <w:rPr>
          <w:rStyle w:val="FootnoteReference"/>
          <w:sz w:val="20"/>
          <w:szCs w:val="20"/>
        </w:rPr>
        <w:footnoteReference w:id="8"/>
      </w:r>
      <w:r w:rsidRPr="005A3622">
        <w:rPr>
          <w:sz w:val="20"/>
          <w:szCs w:val="20"/>
        </w:rPr>
        <w:t xml:space="preserve"> Throughout the book we get glimpses into the various conversations he is engaged in, with friends, family members, and the fictional world of Port William; especially through the characters that have been such a large part of the conversation Berry has had with us over the years. </w:t>
      </w:r>
    </w:p>
    <w:p w14:paraId="2F6B6657" w14:textId="77777777" w:rsidR="00562CF8" w:rsidRPr="005A3622" w:rsidRDefault="00562CF8" w:rsidP="00562CF8">
      <w:pPr>
        <w:rPr>
          <w:sz w:val="20"/>
          <w:szCs w:val="20"/>
        </w:rPr>
      </w:pPr>
      <w:r w:rsidRPr="005A3622">
        <w:rPr>
          <w:sz w:val="20"/>
          <w:szCs w:val="20"/>
        </w:rPr>
        <w:t>Drawing on some of the insights that the “linguistic turn” in theology has given us – especially in the rather subtle argument about the possibilities of language laid out in Rowan Williams’ 2013 Gifford Lectures</w:t>
      </w:r>
      <w:r w:rsidRPr="005A3622">
        <w:rPr>
          <w:rStyle w:val="FootnoteReference"/>
          <w:sz w:val="20"/>
          <w:szCs w:val="20"/>
        </w:rPr>
        <w:footnoteReference w:id="9"/>
      </w:r>
      <w:r w:rsidRPr="005A3622">
        <w:rPr>
          <w:sz w:val="20"/>
          <w:szCs w:val="20"/>
        </w:rPr>
        <w:t xml:space="preserve"> – I will explore Berry’s use of ‘conversation’ as it relates to the construction of ‘place.’ Through this engagement with Berry, I will suggest some ‘grammatical’ resources of participation that can enable us to locate a Christian theology of place in the person of Jesus Christ. My paper will thus open up the possibility that it is the conversations that make up our lives that create the place where all manner of diversities can be gathered in Jesus.</w:t>
      </w:r>
    </w:p>
    <w:p w14:paraId="2F6B6658" w14:textId="77777777" w:rsidR="00A5788B" w:rsidRPr="005A3622" w:rsidRDefault="00A5788B" w:rsidP="00A5788B">
      <w:pPr>
        <w:rPr>
          <w:rFonts w:ascii="Arial" w:hAnsi="Arial" w:cs="Arial"/>
          <w:sz w:val="20"/>
          <w:szCs w:val="20"/>
        </w:rPr>
      </w:pPr>
    </w:p>
    <w:p w14:paraId="2F6B6659" w14:textId="77777777" w:rsidR="00A5788B" w:rsidRPr="005A3622" w:rsidRDefault="00A5788B" w:rsidP="00A57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31313"/>
          <w:sz w:val="20"/>
          <w:szCs w:val="20"/>
          <w:u w:color="131313"/>
        </w:rPr>
      </w:pPr>
      <w:r w:rsidRPr="005A3622">
        <w:rPr>
          <w:rFonts w:ascii="Arial" w:hAnsi="Arial" w:cs="Arial"/>
          <w:color w:val="131313"/>
          <w:sz w:val="20"/>
          <w:szCs w:val="20"/>
          <w:u w:color="131313"/>
        </w:rPr>
        <w:t>Kira Moolman, Wycliffe College, “The Stories We Tell Our Children: Literature and Death in a Secular Age”</w:t>
      </w:r>
    </w:p>
    <w:p w14:paraId="2F6B665A" w14:textId="77777777" w:rsidR="0077171F" w:rsidRPr="005A3622" w:rsidRDefault="0077171F" w:rsidP="00771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5A3622">
        <w:rPr>
          <w:sz w:val="20"/>
          <w:szCs w:val="20"/>
        </w:rPr>
        <w:t xml:space="preserve">When anthropologist Myra </w:t>
      </w:r>
      <w:proofErr w:type="spellStart"/>
      <w:r w:rsidRPr="005A3622">
        <w:rPr>
          <w:sz w:val="20"/>
          <w:szCs w:val="20"/>
        </w:rPr>
        <w:t>Bluebond-Langner</w:t>
      </w:r>
      <w:proofErr w:type="spellEnd"/>
      <w:r w:rsidRPr="005A3622">
        <w:rPr>
          <w:sz w:val="20"/>
          <w:szCs w:val="20"/>
        </w:rPr>
        <w:t xml:space="preserve"> began researching the sociology of children dying from leukemia, she discovered a private world of children in the leukemia ward, one that is familiar with death and now awaits it. In her studies, </w:t>
      </w:r>
      <w:proofErr w:type="spellStart"/>
      <w:r w:rsidRPr="005A3622">
        <w:rPr>
          <w:sz w:val="20"/>
          <w:szCs w:val="20"/>
        </w:rPr>
        <w:t>Bluebond-Langner</w:t>
      </w:r>
      <w:proofErr w:type="spellEnd"/>
      <w:r w:rsidRPr="005A3622">
        <w:rPr>
          <w:sz w:val="20"/>
          <w:szCs w:val="20"/>
        </w:rPr>
        <w:t xml:space="preserve"> found that once the realization of their own death takes place, it becomes the central focus of these children. They begin to draw graves, bury toys, and ask for stories that contain death. In this context, the most requested story was E.B. White’s </w:t>
      </w:r>
      <w:r w:rsidRPr="005A3622">
        <w:rPr>
          <w:i/>
          <w:iCs/>
          <w:sz w:val="20"/>
          <w:szCs w:val="20"/>
        </w:rPr>
        <w:t>Charlotte’s Web</w:t>
      </w:r>
      <w:r w:rsidRPr="005A3622">
        <w:rPr>
          <w:sz w:val="20"/>
          <w:szCs w:val="20"/>
        </w:rPr>
        <w:t xml:space="preserve">, with specific requests for the chapter where Charlotte dies. </w:t>
      </w:r>
    </w:p>
    <w:p w14:paraId="2F6B665B" w14:textId="77777777" w:rsidR="0077171F" w:rsidRPr="005A3622" w:rsidRDefault="0077171F" w:rsidP="00771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5A3622">
        <w:rPr>
          <w:color w:val="131313"/>
          <w:sz w:val="20"/>
          <w:szCs w:val="20"/>
        </w:rPr>
        <w:t xml:space="preserve">My paper explores how our narrative around the topics of death and dying has shifted in Western modernity, tracing this path through the examples provided in the literature we read and share with one another, specifically with children. </w:t>
      </w:r>
      <w:r w:rsidRPr="005A3622">
        <w:rPr>
          <w:sz w:val="20"/>
          <w:szCs w:val="20"/>
        </w:rPr>
        <w:t xml:space="preserve">In particular, I ask how literary portrayals of death either embody Christian theology or have come to reflect secular philosophy, using J.M. Barrie’s </w:t>
      </w:r>
      <w:r w:rsidRPr="005A3622">
        <w:rPr>
          <w:i/>
          <w:iCs/>
          <w:sz w:val="20"/>
          <w:szCs w:val="20"/>
        </w:rPr>
        <w:t xml:space="preserve">Peter Pan </w:t>
      </w:r>
      <w:r w:rsidRPr="005A3622">
        <w:rPr>
          <w:sz w:val="20"/>
          <w:szCs w:val="20"/>
        </w:rPr>
        <w:t xml:space="preserve">(originally published as </w:t>
      </w:r>
      <w:r w:rsidRPr="005A3622">
        <w:rPr>
          <w:i/>
          <w:iCs/>
          <w:sz w:val="20"/>
          <w:szCs w:val="20"/>
        </w:rPr>
        <w:t>Peter and Wendy</w:t>
      </w:r>
      <w:r w:rsidRPr="005A3622">
        <w:rPr>
          <w:sz w:val="20"/>
          <w:szCs w:val="20"/>
        </w:rPr>
        <w:t xml:space="preserve"> in 1911)</w:t>
      </w:r>
      <w:r w:rsidRPr="005A3622">
        <w:rPr>
          <w:i/>
          <w:iCs/>
          <w:sz w:val="20"/>
          <w:szCs w:val="20"/>
        </w:rPr>
        <w:t xml:space="preserve">, </w:t>
      </w:r>
      <w:r w:rsidRPr="005A3622">
        <w:rPr>
          <w:sz w:val="20"/>
          <w:szCs w:val="20"/>
        </w:rPr>
        <w:t xml:space="preserve">E.B. White’s </w:t>
      </w:r>
      <w:r w:rsidRPr="005A3622">
        <w:rPr>
          <w:i/>
          <w:iCs/>
          <w:sz w:val="20"/>
          <w:szCs w:val="20"/>
        </w:rPr>
        <w:t xml:space="preserve">Charlotte’s Web </w:t>
      </w:r>
      <w:r w:rsidRPr="005A3622">
        <w:rPr>
          <w:sz w:val="20"/>
          <w:szCs w:val="20"/>
        </w:rPr>
        <w:t>(1952),</w:t>
      </w:r>
      <w:r w:rsidRPr="005A3622">
        <w:rPr>
          <w:i/>
          <w:iCs/>
          <w:sz w:val="20"/>
          <w:szCs w:val="20"/>
        </w:rPr>
        <w:t xml:space="preserve"> </w:t>
      </w:r>
      <w:r w:rsidRPr="005A3622">
        <w:rPr>
          <w:sz w:val="20"/>
          <w:szCs w:val="20"/>
        </w:rPr>
        <w:t xml:space="preserve">and Patrick Ness’ </w:t>
      </w:r>
      <w:r w:rsidRPr="005A3622">
        <w:rPr>
          <w:i/>
          <w:iCs/>
          <w:sz w:val="20"/>
          <w:szCs w:val="20"/>
        </w:rPr>
        <w:t>A Monster Calls</w:t>
      </w:r>
      <w:r w:rsidRPr="005A3622">
        <w:rPr>
          <w:sz w:val="20"/>
          <w:szCs w:val="20"/>
        </w:rPr>
        <w:t xml:space="preserve"> (2011) as case studies. My paper argues that as the Christian narrative withdraws from the west, we are left unable to contain death and this failure is reflected in the literature given to children, even as they ask for a story that can contain death.</w:t>
      </w:r>
      <w:r w:rsidRPr="005A3622">
        <w:rPr>
          <w:sz w:val="20"/>
          <w:szCs w:val="20"/>
        </w:rPr>
        <w:tab/>
      </w:r>
    </w:p>
    <w:p w14:paraId="2F6B665C" w14:textId="77777777" w:rsidR="00A5788B" w:rsidRPr="005A3622" w:rsidRDefault="00A5788B" w:rsidP="00A5788B">
      <w:pPr>
        <w:rPr>
          <w:rFonts w:ascii="Arial" w:hAnsi="Arial" w:cs="Arial"/>
          <w:sz w:val="20"/>
          <w:szCs w:val="20"/>
        </w:rPr>
      </w:pPr>
    </w:p>
    <w:p w14:paraId="2F6B665D" w14:textId="77777777" w:rsidR="00A5788B" w:rsidRPr="005A3622" w:rsidRDefault="00A5788B" w:rsidP="00A5788B">
      <w:pPr>
        <w:rPr>
          <w:rFonts w:ascii="Arial" w:hAnsi="Arial" w:cs="Arial"/>
          <w:b/>
          <w:sz w:val="20"/>
          <w:szCs w:val="20"/>
        </w:rPr>
      </w:pPr>
      <w:r w:rsidRPr="005A3622">
        <w:rPr>
          <w:rFonts w:ascii="Arial" w:hAnsi="Arial" w:cs="Arial"/>
          <w:b/>
          <w:sz w:val="20"/>
          <w:szCs w:val="20"/>
        </w:rPr>
        <w:t xml:space="preserve">Section B Chair: Gus Konkel. Room CL 135.4 </w:t>
      </w:r>
    </w:p>
    <w:p w14:paraId="2F6B665E" w14:textId="77777777" w:rsidR="00A5788B" w:rsidRPr="005A3622" w:rsidRDefault="00A5788B" w:rsidP="00A5788B">
      <w:pPr>
        <w:rPr>
          <w:rFonts w:ascii="Arial" w:hAnsi="Arial" w:cs="Arial"/>
          <w:b/>
          <w:sz w:val="20"/>
          <w:szCs w:val="20"/>
        </w:rPr>
      </w:pPr>
      <w:r w:rsidRPr="005A3622">
        <w:rPr>
          <w:rFonts w:ascii="Arial" w:hAnsi="Arial" w:cs="Arial"/>
          <w:b/>
          <w:sz w:val="20"/>
          <w:szCs w:val="20"/>
        </w:rPr>
        <w:t>Please Join Section A for Final Paper and Closing Led by Gus Konkel</w:t>
      </w:r>
    </w:p>
    <w:p w14:paraId="2F6B665F" w14:textId="77777777" w:rsidR="00A5788B" w:rsidRPr="005A3622" w:rsidRDefault="00A5788B" w:rsidP="00A5788B">
      <w:pPr>
        <w:rPr>
          <w:rFonts w:ascii="Arial" w:hAnsi="Arial" w:cs="Arial"/>
          <w:sz w:val="20"/>
          <w:szCs w:val="20"/>
        </w:rPr>
      </w:pPr>
    </w:p>
    <w:p w14:paraId="2F6B6660" w14:textId="77777777" w:rsidR="00A5788B" w:rsidRPr="005A3622" w:rsidRDefault="00A5788B" w:rsidP="00A5788B">
      <w:pPr>
        <w:rPr>
          <w:rFonts w:ascii="Arial" w:hAnsi="Arial" w:cs="Arial"/>
          <w:sz w:val="20"/>
          <w:szCs w:val="20"/>
        </w:rPr>
      </w:pPr>
      <w:r w:rsidRPr="005A3622">
        <w:rPr>
          <w:rFonts w:ascii="Arial" w:hAnsi="Arial" w:cs="Arial"/>
          <w:sz w:val="20"/>
          <w:szCs w:val="20"/>
        </w:rPr>
        <w:t xml:space="preserve">Ian Ritchie, “Gathering Religious Diversities: A Christian Theological and Homiletical Mandate” </w:t>
      </w:r>
    </w:p>
    <w:p w14:paraId="2F6B6661" w14:textId="77777777" w:rsidR="00095E6A" w:rsidRPr="005A3622" w:rsidRDefault="00095E6A" w:rsidP="00095E6A">
      <w:pPr>
        <w:pStyle w:val="Standard"/>
        <w:rPr>
          <w:rFonts w:cs="Times New Roman"/>
          <w:b/>
          <w:bCs/>
          <w:i/>
          <w:iCs/>
          <w:sz w:val="20"/>
          <w:szCs w:val="20"/>
        </w:rPr>
      </w:pPr>
      <w:r w:rsidRPr="005A3622">
        <w:rPr>
          <w:rFonts w:cs="Times New Roman"/>
          <w:sz w:val="20"/>
          <w:szCs w:val="20"/>
        </w:rPr>
        <w:t xml:space="preserve">The past two years in both the U.S. and Canada have seen a marked increase in the participation of self-identified evangelical Christians in verbal attacks on Muslims and other non-Christian religious groups in both the U.S. and Canada.  It has become common to hear respected leaders in the evangelical community take outspoken stands against admitting immigrants or refugees from Muslim majority countries, and to hear appeals for travel bans from those countries. A number of evangelical leaders go so far as to claim that Islam is “not a religion, but a death cult”.  Yet when rationales are given for these claims the appeal is often to a sort of “insider” knowledge not available widely. Appeals to the Scriptures of the Old and New Testaments; an historically evangelical distinctive, are seldom cited as a basis for these claims. While varying degrees of accuracy may or may not be found in many of these insider narratives, what is most often lacking is a Christian biblical grounding in answer to the questions: “What should we as Christians do about it; what does it mean to live as a Christ follower in the context of the increasing religious diversity on our continent?” The paper explores a more biblically grounded narrative in which welcoming the sojourner, regardless of their religion, is at the core of both Hebrew Bible and New Testament mandates.  </w:t>
      </w:r>
    </w:p>
    <w:p w14:paraId="2F6B6662" w14:textId="77777777" w:rsidR="00095E6A" w:rsidRPr="005A3622" w:rsidRDefault="00095E6A" w:rsidP="00A5788B">
      <w:pPr>
        <w:rPr>
          <w:rFonts w:ascii="Arial" w:hAnsi="Arial" w:cs="Arial"/>
          <w:sz w:val="20"/>
          <w:szCs w:val="20"/>
        </w:rPr>
      </w:pPr>
    </w:p>
    <w:p w14:paraId="2F6B6663" w14:textId="77777777" w:rsidR="00A5788B" w:rsidRPr="005A3622" w:rsidRDefault="00A5788B" w:rsidP="00A5788B">
      <w:pPr>
        <w:ind w:left="720"/>
        <w:rPr>
          <w:rFonts w:ascii="Arial" w:hAnsi="Arial" w:cs="Arial"/>
          <w:sz w:val="20"/>
          <w:szCs w:val="20"/>
        </w:rPr>
      </w:pPr>
    </w:p>
    <w:p w14:paraId="2F6B6664" w14:textId="77777777" w:rsidR="005A3622" w:rsidRDefault="005A3622" w:rsidP="00A5788B">
      <w:pPr>
        <w:rPr>
          <w:rFonts w:ascii="Arial" w:hAnsi="Arial" w:cs="Arial"/>
          <w:bCs/>
          <w:sz w:val="20"/>
          <w:szCs w:val="20"/>
        </w:rPr>
      </w:pPr>
    </w:p>
    <w:p w14:paraId="2F6B6665" w14:textId="77777777" w:rsidR="005A3622" w:rsidRDefault="005A3622" w:rsidP="00A5788B">
      <w:pPr>
        <w:rPr>
          <w:rFonts w:ascii="Arial" w:hAnsi="Arial" w:cs="Arial"/>
          <w:bCs/>
          <w:sz w:val="20"/>
          <w:szCs w:val="20"/>
        </w:rPr>
      </w:pPr>
    </w:p>
    <w:p w14:paraId="2F6B6666" w14:textId="77777777" w:rsidR="005A3622" w:rsidRDefault="005A3622" w:rsidP="00A5788B">
      <w:pPr>
        <w:rPr>
          <w:rFonts w:ascii="Arial" w:hAnsi="Arial" w:cs="Arial"/>
          <w:bCs/>
          <w:sz w:val="20"/>
          <w:szCs w:val="20"/>
        </w:rPr>
      </w:pPr>
    </w:p>
    <w:p w14:paraId="2F6B6667" w14:textId="77777777" w:rsidR="005A3622" w:rsidRDefault="005A3622" w:rsidP="00A5788B">
      <w:pPr>
        <w:rPr>
          <w:rFonts w:ascii="Arial" w:hAnsi="Arial" w:cs="Arial"/>
          <w:bCs/>
          <w:sz w:val="20"/>
          <w:szCs w:val="20"/>
        </w:rPr>
      </w:pPr>
    </w:p>
    <w:p w14:paraId="2F6B6668" w14:textId="77777777" w:rsidR="00A5788B" w:rsidRPr="005A3622" w:rsidRDefault="00A5788B" w:rsidP="00A5788B">
      <w:pPr>
        <w:rPr>
          <w:rFonts w:ascii="Arial" w:hAnsi="Arial" w:cs="Arial"/>
          <w:sz w:val="20"/>
          <w:szCs w:val="20"/>
        </w:rPr>
      </w:pPr>
      <w:r w:rsidRPr="005A3622">
        <w:rPr>
          <w:rFonts w:ascii="Arial" w:hAnsi="Arial" w:cs="Arial"/>
          <w:bCs/>
          <w:sz w:val="20"/>
          <w:szCs w:val="20"/>
        </w:rPr>
        <w:lastRenderedPageBreak/>
        <w:t>Jesse Smith, St. Paul University, “</w:t>
      </w:r>
      <w:r w:rsidRPr="005A3622">
        <w:rPr>
          <w:rFonts w:ascii="Arial" w:hAnsi="Arial" w:cs="Arial"/>
          <w:sz w:val="20"/>
          <w:szCs w:val="20"/>
        </w:rPr>
        <w:t>Simple Souls: Some Shortcomings of Contemporary Interpretations of the Human Soul”</w:t>
      </w:r>
    </w:p>
    <w:p w14:paraId="2F6B6669" w14:textId="77777777" w:rsidR="004E021D" w:rsidRPr="005A3622" w:rsidRDefault="004E021D" w:rsidP="004E021D">
      <w:pPr>
        <w:rPr>
          <w:sz w:val="20"/>
          <w:szCs w:val="20"/>
        </w:rPr>
      </w:pPr>
      <w:r w:rsidRPr="005A3622">
        <w:rPr>
          <w:sz w:val="20"/>
          <w:szCs w:val="20"/>
        </w:rPr>
        <w:t>Over the last 30 years, there has been a concerted effort by theologians to engage neuroscience, cognitive psychology and philosophy of mind in their efforts to either defend or repudiate a traditional notion of the soul. This paper contends that the origins of the current debate within Anglo-American philosophy of mind has had impoverishing consequences for both proponents (</w:t>
      </w:r>
      <w:proofErr w:type="spellStart"/>
      <w:r w:rsidRPr="005A3622">
        <w:rPr>
          <w:sz w:val="20"/>
          <w:szCs w:val="20"/>
        </w:rPr>
        <w:t>Carles</w:t>
      </w:r>
      <w:proofErr w:type="spellEnd"/>
      <w:r w:rsidRPr="005A3622">
        <w:rPr>
          <w:sz w:val="20"/>
          <w:szCs w:val="20"/>
        </w:rPr>
        <w:t xml:space="preserve"> Taliaferro, J.P. Moreland) and opponents (Nancey Murphy). Specifically, the conflation of soul/mind language and emphasis its simplicity ignores a history, recounted by Sarah Coakley and others, of the soul’s complex faculties, and its interaction with other terms such as the spirit, heart, and body. Scriptural warrant for pursuing such complexity and encouraging a diversity of terms can be found in the work of D.E.H. </w:t>
      </w:r>
      <w:proofErr w:type="spellStart"/>
      <w:r w:rsidRPr="005A3622">
        <w:rPr>
          <w:sz w:val="20"/>
          <w:szCs w:val="20"/>
        </w:rPr>
        <w:t>Whiteley</w:t>
      </w:r>
      <w:proofErr w:type="spellEnd"/>
      <w:r w:rsidRPr="005A3622">
        <w:rPr>
          <w:sz w:val="20"/>
          <w:szCs w:val="20"/>
        </w:rPr>
        <w:t>. After highlighting some shared assumptions of both Christian materialists and dualists involved in contemporary soul debates, I will suggest that the participatory ontology found in patristic authors and some modern Roman Catholic theology (</w:t>
      </w:r>
      <w:proofErr w:type="spellStart"/>
      <w:r w:rsidRPr="005A3622">
        <w:rPr>
          <w:sz w:val="20"/>
          <w:szCs w:val="20"/>
        </w:rPr>
        <w:t>eg.</w:t>
      </w:r>
      <w:proofErr w:type="spellEnd"/>
      <w:r w:rsidRPr="005A3622">
        <w:rPr>
          <w:sz w:val="20"/>
          <w:szCs w:val="20"/>
        </w:rPr>
        <w:t xml:space="preserve"> Erich </w:t>
      </w:r>
      <w:proofErr w:type="spellStart"/>
      <w:r w:rsidRPr="005A3622">
        <w:rPr>
          <w:sz w:val="20"/>
          <w:szCs w:val="20"/>
        </w:rPr>
        <w:t>Pryzwara</w:t>
      </w:r>
      <w:proofErr w:type="spellEnd"/>
      <w:r w:rsidRPr="005A3622">
        <w:rPr>
          <w:sz w:val="20"/>
          <w:szCs w:val="20"/>
        </w:rPr>
        <w:t xml:space="preserve">, Henri de </w:t>
      </w:r>
      <w:proofErr w:type="spellStart"/>
      <w:r w:rsidRPr="005A3622">
        <w:rPr>
          <w:sz w:val="20"/>
          <w:szCs w:val="20"/>
        </w:rPr>
        <w:t>Lubac</w:t>
      </w:r>
      <w:proofErr w:type="spellEnd"/>
      <w:r w:rsidRPr="005A3622">
        <w:rPr>
          <w:sz w:val="20"/>
          <w:szCs w:val="20"/>
        </w:rPr>
        <w:t>) provides a suitable grammar for furthering our understanding of the complexity of souls and selves without ceding the terms of debate to non-theological disciplines.</w:t>
      </w:r>
    </w:p>
    <w:p w14:paraId="2F6B666A" w14:textId="77777777" w:rsidR="00A5788B" w:rsidRPr="005A3622" w:rsidRDefault="00A5788B" w:rsidP="00A5788B">
      <w:pPr>
        <w:rPr>
          <w:rFonts w:ascii="Arial" w:hAnsi="Arial" w:cs="Arial"/>
          <w:sz w:val="20"/>
          <w:szCs w:val="20"/>
        </w:rPr>
      </w:pPr>
    </w:p>
    <w:p w14:paraId="2F6B666B" w14:textId="77777777" w:rsidR="00A5788B" w:rsidRPr="005A3622" w:rsidRDefault="00A5788B" w:rsidP="00A5788B">
      <w:pPr>
        <w:rPr>
          <w:rFonts w:ascii="Arial" w:hAnsi="Arial" w:cs="Arial"/>
          <w:sz w:val="20"/>
          <w:szCs w:val="20"/>
        </w:rPr>
      </w:pPr>
      <w:r w:rsidRPr="005A3622">
        <w:rPr>
          <w:rFonts w:ascii="Arial" w:hAnsi="Arial" w:cs="Arial"/>
          <w:sz w:val="20"/>
          <w:szCs w:val="20"/>
        </w:rPr>
        <w:t>Stephen W. Martin, The King’s University, “Gathering: The Sacramental [Prophetic] Imagination of Desmond Tutu”</w:t>
      </w:r>
    </w:p>
    <w:p w14:paraId="2F6B666C" w14:textId="77777777" w:rsidR="003E0700" w:rsidRPr="005A3622" w:rsidRDefault="003E0700" w:rsidP="003E0700">
      <w:pPr>
        <w:rPr>
          <w:sz w:val="20"/>
          <w:szCs w:val="20"/>
        </w:rPr>
      </w:pPr>
      <w:r w:rsidRPr="005A3622">
        <w:rPr>
          <w:sz w:val="20"/>
          <w:szCs w:val="20"/>
        </w:rPr>
        <w:t xml:space="preserve">An icon of the anti-apartheid struggle, Desmond Tutu is often considered an exemplar of prophetic theology.  His life is also an interesting example of gathering particular and (sometimes contradictory) “diversities”, as for instance in his friendship with the Dalai Lama or his addressing Apartheid leaders as “fellow Christians” (though “very naughty” ones). The bridge between these two things, this paper argues, is found in his sacramental theology and practice. Such a theology is the lasting mark of the </w:t>
      </w:r>
      <w:proofErr w:type="spellStart"/>
      <w:r w:rsidRPr="005A3622">
        <w:rPr>
          <w:sz w:val="20"/>
          <w:szCs w:val="20"/>
        </w:rPr>
        <w:t>Mirfield</w:t>
      </w:r>
      <w:proofErr w:type="spellEnd"/>
      <w:r w:rsidRPr="005A3622">
        <w:rPr>
          <w:sz w:val="20"/>
          <w:szCs w:val="20"/>
        </w:rPr>
        <w:t xml:space="preserve"> Fathers, and especially Fr. Trevor Huddleston who was his mentor as a young boy in </w:t>
      </w:r>
      <w:proofErr w:type="spellStart"/>
      <w:r w:rsidRPr="005A3622">
        <w:rPr>
          <w:sz w:val="20"/>
          <w:szCs w:val="20"/>
        </w:rPr>
        <w:t>Sophiatown</w:t>
      </w:r>
      <w:proofErr w:type="spellEnd"/>
      <w:r w:rsidRPr="005A3622">
        <w:rPr>
          <w:sz w:val="20"/>
          <w:szCs w:val="20"/>
        </w:rPr>
        <w:t>. This “catholic” dimension is not often considered in work on Tutu, and merits further exploration. Likewise, work on prophetic theologies tend to articulate word rather than (sacramental) action. Using the work of Walter Brueggemann on the prophetic and William T. Cavanaugh on the sacramental imaginations, the paper frames a case study set in 1989, six months prior to the release of Nelson Mandela and the normalization of democracy. On September 2 of that year, a protest march in Cape Town made infamous by the spraying of purple dye on demonstrators tried to create uniformity among a scattered rabble of activists. A few days later, Tutu addressed a larger crowd—Christian and Muslim, atheists and Jews, black and white, as “the rainbow people of God.” This “prophetic” and “priestly” imagination served as an analogy-to or parable-of the “gathering” moment of the Eucharist, and an invitation to the recalcitrant government to “come and see” and join-with. The paper concludes with a reflection on analogies of “gathering diversities” in contemporary Canada.</w:t>
      </w:r>
    </w:p>
    <w:p w14:paraId="2F6B666D" w14:textId="77777777" w:rsidR="00A5788B" w:rsidRPr="005A3622" w:rsidRDefault="00A5788B" w:rsidP="005A3622">
      <w:pPr>
        <w:rPr>
          <w:rFonts w:ascii="Arial" w:hAnsi="Arial" w:cs="Arial"/>
          <w:sz w:val="20"/>
          <w:szCs w:val="20"/>
        </w:rPr>
      </w:pPr>
    </w:p>
    <w:p w14:paraId="2F6B666E" w14:textId="77777777" w:rsidR="00A5788B" w:rsidRPr="005A3622" w:rsidRDefault="00A5788B" w:rsidP="00A5788B">
      <w:pPr>
        <w:rPr>
          <w:rFonts w:ascii="Arial" w:hAnsi="Arial" w:cs="Arial"/>
          <w:sz w:val="20"/>
          <w:szCs w:val="20"/>
        </w:rPr>
      </w:pPr>
      <w:r w:rsidRPr="005A3622">
        <w:rPr>
          <w:rFonts w:ascii="Arial" w:hAnsi="Arial" w:cs="Arial"/>
          <w:sz w:val="20"/>
          <w:szCs w:val="20"/>
        </w:rPr>
        <w:t>Chanelle Robinson, Regis College, “From Red Fields and White Christ Towards a Theology of Apology: Decolonizing Roman Catholic Mission in an Age of Truth and Reconciliation in Canada”</w:t>
      </w:r>
    </w:p>
    <w:p w14:paraId="2F6B666F" w14:textId="77777777" w:rsidR="00D30F91" w:rsidRPr="005A3622" w:rsidRDefault="00D30F91" w:rsidP="00D30F91">
      <w:pPr>
        <w:rPr>
          <w:sz w:val="20"/>
          <w:szCs w:val="20"/>
        </w:rPr>
      </w:pPr>
      <w:r w:rsidRPr="005A3622">
        <w:rPr>
          <w:sz w:val="20"/>
          <w:szCs w:val="20"/>
        </w:rPr>
        <w:t xml:space="preserve">The residential school crisis exposed the complicated legacy of Christianity in Canada, and the reality of intergenerational duress in many First Nations Metis and Inuit (FNMI) communities. Considering the ninety-four calls to action found within the Truth and Reconciliation Commission (TRC), this paper aims to articulate how a ‘Theology of Apology’, might shape Roman Catholic mission in Canada. This essay begins by examining Roman Catholic participation in the TRC and problematizes the absence of an apology in Catholic discourses. Some indigenous ways of understanding apology and other Christian approaches to apology are also highlighted. By attempting to centralize the lived experiences of FNMI peoples, this project also unsettles conventional Catholic understandings of liberation theology in a Canadian context.  The radical possibility of a decolonized understanding of Church mission is proposed as a pedagogy for confronting ecclesial culpability in residential schools. Finally, this paper unpacks the ecclesiological implications of ‘Theology of Apology’ as an ecumenical </w:t>
      </w:r>
      <w:r w:rsidRPr="005A3622">
        <w:rPr>
          <w:i/>
          <w:sz w:val="20"/>
          <w:szCs w:val="20"/>
        </w:rPr>
        <w:t xml:space="preserve">praxis </w:t>
      </w:r>
      <w:r w:rsidRPr="005A3622">
        <w:rPr>
          <w:sz w:val="20"/>
          <w:szCs w:val="20"/>
        </w:rPr>
        <w:t xml:space="preserve">of love and </w:t>
      </w:r>
      <w:proofErr w:type="spellStart"/>
      <w:r w:rsidRPr="005A3622">
        <w:rPr>
          <w:sz w:val="20"/>
          <w:szCs w:val="20"/>
        </w:rPr>
        <w:t>allyship</w:t>
      </w:r>
      <w:proofErr w:type="spellEnd"/>
      <w:r w:rsidRPr="005A3622">
        <w:rPr>
          <w:i/>
          <w:sz w:val="20"/>
          <w:szCs w:val="20"/>
        </w:rPr>
        <w:t>.</w:t>
      </w:r>
      <w:r w:rsidRPr="005A3622">
        <w:rPr>
          <w:sz w:val="20"/>
          <w:szCs w:val="20"/>
        </w:rPr>
        <w:t xml:space="preserve"> The hope of this research project envisions an understanding of right relationship between FNMI communities, the land, and the Roman Catholic Church in Canada. </w:t>
      </w:r>
    </w:p>
    <w:p w14:paraId="2F6B6670" w14:textId="77777777" w:rsidR="00D30F91" w:rsidRPr="005A3622" w:rsidRDefault="00D30F91" w:rsidP="00A5788B">
      <w:pPr>
        <w:rPr>
          <w:rFonts w:ascii="Arial" w:hAnsi="Arial" w:cs="Arial"/>
          <w:sz w:val="20"/>
          <w:szCs w:val="20"/>
        </w:rPr>
      </w:pPr>
    </w:p>
    <w:p w14:paraId="2F6B6671" w14:textId="77777777" w:rsidR="00093029" w:rsidRPr="005A3622" w:rsidRDefault="00093029" w:rsidP="00093029">
      <w:pPr>
        <w:rPr>
          <w:sz w:val="20"/>
          <w:szCs w:val="20"/>
        </w:rPr>
      </w:pPr>
    </w:p>
    <w:p w14:paraId="2F6B6672" w14:textId="77777777" w:rsidR="00093029" w:rsidRPr="005A3622" w:rsidRDefault="00093029" w:rsidP="00A5788B">
      <w:pPr>
        <w:widowControl w:val="0"/>
        <w:autoSpaceDE w:val="0"/>
        <w:autoSpaceDN w:val="0"/>
        <w:adjustRightInd w:val="0"/>
        <w:rPr>
          <w:sz w:val="20"/>
          <w:szCs w:val="20"/>
        </w:rPr>
      </w:pPr>
    </w:p>
    <w:p w14:paraId="2F6B6673" w14:textId="77777777" w:rsidR="002811CA" w:rsidRPr="005A3622" w:rsidRDefault="00683DCC">
      <w:pPr>
        <w:rPr>
          <w:sz w:val="20"/>
          <w:szCs w:val="20"/>
        </w:rPr>
      </w:pPr>
    </w:p>
    <w:sectPr w:rsidR="002811CA" w:rsidRPr="005A36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6676" w14:textId="77777777" w:rsidR="00BE5966" w:rsidRDefault="00BE5966" w:rsidP="00093029">
      <w:r>
        <w:separator/>
      </w:r>
    </w:p>
  </w:endnote>
  <w:endnote w:type="continuationSeparator" w:id="0">
    <w:p w14:paraId="2F6B6677" w14:textId="77777777" w:rsidR="00BE5966" w:rsidRDefault="00BE5966" w:rsidP="0009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687">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6674" w14:textId="77777777" w:rsidR="00BE5966" w:rsidRDefault="00BE5966" w:rsidP="00093029">
      <w:r>
        <w:separator/>
      </w:r>
    </w:p>
  </w:footnote>
  <w:footnote w:type="continuationSeparator" w:id="0">
    <w:p w14:paraId="2F6B6675" w14:textId="77777777" w:rsidR="00BE5966" w:rsidRDefault="00BE5966" w:rsidP="00093029">
      <w:r>
        <w:continuationSeparator/>
      </w:r>
    </w:p>
  </w:footnote>
  <w:footnote w:id="1">
    <w:p w14:paraId="2F6B667A" w14:textId="77777777" w:rsidR="00D30F91" w:rsidRPr="00A50AF5" w:rsidRDefault="00D30F91" w:rsidP="00D30F91">
      <w:pPr>
        <w:pStyle w:val="FootnoteText"/>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William J. Abraham, "Christian Perfection" in </w:t>
      </w:r>
      <w:r w:rsidRPr="00A50AF5">
        <w:rPr>
          <w:rFonts w:ascii="Times New Roman" w:hAnsi="Times New Roman" w:cs="Times New Roman"/>
          <w:i/>
        </w:rPr>
        <w:t>The Oxford Handbook of Methodist Studies</w:t>
      </w:r>
      <w:r w:rsidRPr="00A50AF5">
        <w:rPr>
          <w:rFonts w:ascii="Times New Roman" w:hAnsi="Times New Roman" w:cs="Times New Roman"/>
        </w:rPr>
        <w:t xml:space="preserve"> (Ed. James E. Kirby and William J. Abraham: Oxford: Oxford University Press, 2011), 587-601, 587.</w:t>
      </w:r>
    </w:p>
  </w:footnote>
  <w:footnote w:id="2">
    <w:p w14:paraId="2F6B667B" w14:textId="77777777" w:rsidR="0050448A" w:rsidRPr="00A50AF5" w:rsidRDefault="0050448A" w:rsidP="0050448A">
      <w:pPr>
        <w:pStyle w:val="FootnoteText"/>
        <w:rPr>
          <w:rFonts w:ascii="Times New Roman" w:hAnsi="Times New Roman" w:cs="Times New Roman"/>
          <w:lang w:val="en-CA"/>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rPr>
        <w:fldChar w:fldCharType="begin"/>
      </w:r>
      <w:r w:rsidRPr="00A50AF5">
        <w:rPr>
          <w:rFonts w:ascii="Times New Roman" w:hAnsi="Times New Roman" w:cs="Times New Roman"/>
        </w:rPr>
        <w:instrText xml:space="preserve"> ADDIN ZOTERO_ITEM CSL_CITATION {"citationID":"PCm3KOPa","properties":{"formattedCitation":"{\\rtf Karl Barth, {\\i{}Witness to the Word: A Commentary on John 1}, ed. Walther F\\uc0\\u252{}rst, trans. Geoffrey Bromiley (Eugene, OR: Wipf &amp; Stock, 1986), 18.}","plainCitation":"Karl Barth, Witness to the Word: A Commentary on John 1, ed. Walther Fürst, trans. Geoffrey Bromiley (Eugene, OR: Wipf &amp; Stock, 1986), 18."},"citationItems":[{"id":229,"uris":["http://zotero.org/users/3121732/items/GS8NWCT2"],"uri":["http://zotero.org/users/3121732/items/GS8NWCT2"],"itemData":{"id":229,"type":"book","title":"Witness to the Word: A Commentary on John 1","publisher":"Wipf &amp; Stock","publisher-place":"Eugene, OR","event-place":"Eugene, OR","shortTitle":"WttW","author":[{"family":"Barth","given":"Karl"}],"editor":[{"family":"Fürst","given":"Walther"}],"translator":[{"family":"Bromiley","given":"Geoffrey"}],"issued":{"date-parts":[["1986"]]}},"locator":"18","label":"page"}],"schema":"https://github.com/citation-style-language/schema/raw/master/csl-citation.json"} </w:instrText>
      </w:r>
      <w:r w:rsidRPr="00A50AF5">
        <w:rPr>
          <w:rFonts w:ascii="Times New Roman" w:hAnsi="Times New Roman" w:cs="Times New Roman"/>
        </w:rPr>
        <w:fldChar w:fldCharType="separate"/>
      </w:r>
      <w:r w:rsidRPr="00A50AF5">
        <w:rPr>
          <w:rFonts w:ascii="Times New Roman" w:eastAsia="Times New Roman" w:hAnsi="Times New Roman" w:cs="Times New Roman"/>
        </w:rPr>
        <w:t xml:space="preserve">Karl Barth, </w:t>
      </w:r>
      <w:r w:rsidRPr="00A50AF5">
        <w:rPr>
          <w:rFonts w:ascii="Times New Roman" w:eastAsia="Times New Roman" w:hAnsi="Times New Roman" w:cs="Times New Roman"/>
          <w:i/>
          <w:iCs/>
        </w:rPr>
        <w:t>Witness to the Word: A Commentary on John 1</w:t>
      </w:r>
      <w:r w:rsidRPr="00A50AF5">
        <w:rPr>
          <w:rFonts w:ascii="Times New Roman" w:eastAsia="Times New Roman" w:hAnsi="Times New Roman" w:cs="Times New Roman"/>
        </w:rPr>
        <w:t>, ed. Walther Fürst, trans. Geoffrey Bromiley (Eugene, OR: Wipf &amp; Stock, 1986), 18.</w:t>
      </w:r>
      <w:r w:rsidRPr="00A50AF5">
        <w:rPr>
          <w:rFonts w:ascii="Times New Roman" w:hAnsi="Times New Roman" w:cs="Times New Roman"/>
        </w:rPr>
        <w:fldChar w:fldCharType="end"/>
      </w:r>
    </w:p>
  </w:footnote>
  <w:footnote w:id="3">
    <w:p w14:paraId="2F6B667C" w14:textId="77777777" w:rsidR="0050448A" w:rsidRPr="00A50AF5" w:rsidRDefault="0050448A" w:rsidP="0050448A">
      <w:pPr>
        <w:pStyle w:val="FootnoteText"/>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Barth, </w:t>
      </w:r>
      <w:r w:rsidRPr="00A50AF5">
        <w:rPr>
          <w:rFonts w:ascii="Times New Roman" w:hAnsi="Times New Roman" w:cs="Times New Roman"/>
          <w:i/>
        </w:rPr>
        <w:t>Witness to the Word</w:t>
      </w:r>
      <w:r w:rsidRPr="00A50AF5">
        <w:rPr>
          <w:rFonts w:ascii="Times New Roman" w:hAnsi="Times New Roman" w:cs="Times New Roman"/>
        </w:rPr>
        <w:t xml:space="preserve">, 4. Indeed, as </w:t>
      </w:r>
      <w:proofErr w:type="spellStart"/>
      <w:r w:rsidRPr="00A50AF5">
        <w:rPr>
          <w:rFonts w:ascii="Times New Roman" w:hAnsi="Times New Roman" w:cs="Times New Roman"/>
        </w:rPr>
        <w:t>Plasger</w:t>
      </w:r>
      <w:proofErr w:type="spellEnd"/>
      <w:r w:rsidRPr="00A50AF5">
        <w:rPr>
          <w:rFonts w:ascii="Times New Roman" w:hAnsi="Times New Roman" w:cs="Times New Roman"/>
        </w:rPr>
        <w:t xml:space="preserve"> notes, for Barth “the church with its decisions and with its confession constitutes the place from which an objective exegesis can occur.” Georg </w:t>
      </w:r>
      <w:proofErr w:type="spellStart"/>
      <w:r w:rsidRPr="00A50AF5">
        <w:rPr>
          <w:rFonts w:ascii="Times New Roman" w:hAnsi="Times New Roman" w:cs="Times New Roman"/>
        </w:rPr>
        <w:t>Plasger</w:t>
      </w:r>
      <w:proofErr w:type="spellEnd"/>
      <w:r w:rsidRPr="00A50AF5">
        <w:rPr>
          <w:rFonts w:ascii="Times New Roman" w:hAnsi="Times New Roman" w:cs="Times New Roman"/>
        </w:rPr>
        <w:t xml:space="preserve">, “Wort </w:t>
      </w:r>
      <w:proofErr w:type="spellStart"/>
      <w:r w:rsidRPr="00A50AF5">
        <w:rPr>
          <w:rFonts w:ascii="Times New Roman" w:hAnsi="Times New Roman" w:cs="Times New Roman"/>
        </w:rPr>
        <w:t>Vom</w:t>
      </w:r>
      <w:proofErr w:type="spellEnd"/>
      <w:r w:rsidRPr="00A50AF5">
        <w:rPr>
          <w:rFonts w:ascii="Times New Roman" w:hAnsi="Times New Roman" w:cs="Times New Roman"/>
        </w:rPr>
        <w:t xml:space="preserve"> Wort: </w:t>
      </w:r>
      <w:proofErr w:type="spellStart"/>
      <w:r w:rsidRPr="00A50AF5">
        <w:rPr>
          <w:rFonts w:ascii="Times New Roman" w:hAnsi="Times New Roman" w:cs="Times New Roman"/>
        </w:rPr>
        <w:t>Systematisch-Theologische</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rPr>
        <w:t>Überlegungen</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rPr>
        <w:t>Zur</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rPr>
        <w:t>Bedeutung</w:t>
      </w:r>
      <w:proofErr w:type="spellEnd"/>
      <w:r w:rsidRPr="00A50AF5">
        <w:rPr>
          <w:rFonts w:ascii="Times New Roman" w:hAnsi="Times New Roman" w:cs="Times New Roman"/>
        </w:rPr>
        <w:t xml:space="preserve"> Des </w:t>
      </w:r>
      <w:proofErr w:type="spellStart"/>
      <w:r w:rsidRPr="00A50AF5">
        <w:rPr>
          <w:rFonts w:ascii="Times New Roman" w:hAnsi="Times New Roman" w:cs="Times New Roman"/>
        </w:rPr>
        <w:t>Verhältnisses</w:t>
      </w:r>
      <w:proofErr w:type="spellEnd"/>
      <w:r w:rsidRPr="00A50AF5">
        <w:rPr>
          <w:rFonts w:ascii="Times New Roman" w:hAnsi="Times New Roman" w:cs="Times New Roman"/>
        </w:rPr>
        <w:t xml:space="preserve"> von </w:t>
      </w:r>
      <w:proofErr w:type="spellStart"/>
      <w:r w:rsidRPr="00A50AF5">
        <w:rPr>
          <w:rFonts w:ascii="Times New Roman" w:hAnsi="Times New Roman" w:cs="Times New Roman"/>
        </w:rPr>
        <w:t>Dogmatik</w:t>
      </w:r>
      <w:proofErr w:type="spellEnd"/>
      <w:r w:rsidRPr="00A50AF5">
        <w:rPr>
          <w:rFonts w:ascii="Times New Roman" w:hAnsi="Times New Roman" w:cs="Times New Roman"/>
        </w:rPr>
        <w:t xml:space="preserve"> Und </w:t>
      </w:r>
      <w:proofErr w:type="spellStart"/>
      <w:r w:rsidRPr="00A50AF5">
        <w:rPr>
          <w:rFonts w:ascii="Times New Roman" w:hAnsi="Times New Roman" w:cs="Times New Roman"/>
        </w:rPr>
        <w:t>Schriftauslegung</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rPr>
        <w:t>Anhand</w:t>
      </w:r>
      <w:proofErr w:type="spellEnd"/>
      <w:r w:rsidRPr="00A50AF5">
        <w:rPr>
          <w:rFonts w:ascii="Times New Roman" w:hAnsi="Times New Roman" w:cs="Times New Roman"/>
        </w:rPr>
        <w:t xml:space="preserve"> Karl </w:t>
      </w:r>
      <w:proofErr w:type="spellStart"/>
      <w:r w:rsidRPr="00A50AF5">
        <w:rPr>
          <w:rFonts w:ascii="Times New Roman" w:hAnsi="Times New Roman" w:cs="Times New Roman"/>
        </w:rPr>
        <w:t>Barths</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rPr>
        <w:t>Erklärung</w:t>
      </w:r>
      <w:proofErr w:type="spellEnd"/>
      <w:r w:rsidRPr="00A50AF5">
        <w:rPr>
          <w:rFonts w:ascii="Times New Roman" w:hAnsi="Times New Roman" w:cs="Times New Roman"/>
        </w:rPr>
        <w:t xml:space="preserve"> Des </w:t>
      </w:r>
      <w:proofErr w:type="spellStart"/>
      <w:r w:rsidRPr="00A50AF5">
        <w:rPr>
          <w:rFonts w:ascii="Times New Roman" w:hAnsi="Times New Roman" w:cs="Times New Roman"/>
        </w:rPr>
        <w:t>Johannesevangeliums</w:t>
      </w:r>
      <w:proofErr w:type="spellEnd"/>
      <w:r w:rsidRPr="00A50AF5">
        <w:rPr>
          <w:rFonts w:ascii="Times New Roman" w:hAnsi="Times New Roman" w:cs="Times New Roman"/>
        </w:rPr>
        <w:t xml:space="preserve">,” </w:t>
      </w:r>
      <w:proofErr w:type="spellStart"/>
      <w:r w:rsidRPr="00A50AF5">
        <w:rPr>
          <w:rFonts w:ascii="Times New Roman" w:hAnsi="Times New Roman" w:cs="Times New Roman"/>
          <w:i/>
          <w:iCs/>
        </w:rPr>
        <w:t>Zeitschrift</w:t>
      </w:r>
      <w:proofErr w:type="spellEnd"/>
      <w:r w:rsidRPr="00A50AF5">
        <w:rPr>
          <w:rFonts w:ascii="Times New Roman" w:hAnsi="Times New Roman" w:cs="Times New Roman"/>
          <w:i/>
          <w:iCs/>
        </w:rPr>
        <w:t xml:space="preserve"> </w:t>
      </w:r>
      <w:proofErr w:type="spellStart"/>
      <w:r w:rsidRPr="00A50AF5">
        <w:rPr>
          <w:rFonts w:ascii="Times New Roman" w:hAnsi="Times New Roman" w:cs="Times New Roman"/>
          <w:i/>
          <w:iCs/>
        </w:rPr>
        <w:t>Für</w:t>
      </w:r>
      <w:proofErr w:type="spellEnd"/>
      <w:r w:rsidRPr="00A50AF5">
        <w:rPr>
          <w:rFonts w:ascii="Times New Roman" w:hAnsi="Times New Roman" w:cs="Times New Roman"/>
          <w:i/>
          <w:iCs/>
        </w:rPr>
        <w:t xml:space="preserve"> </w:t>
      </w:r>
      <w:proofErr w:type="spellStart"/>
      <w:r w:rsidRPr="00A50AF5">
        <w:rPr>
          <w:rFonts w:ascii="Times New Roman" w:hAnsi="Times New Roman" w:cs="Times New Roman"/>
          <w:i/>
          <w:iCs/>
        </w:rPr>
        <w:t>Dialektische</w:t>
      </w:r>
      <w:proofErr w:type="spellEnd"/>
      <w:r w:rsidRPr="00A50AF5">
        <w:rPr>
          <w:rFonts w:ascii="Times New Roman" w:hAnsi="Times New Roman" w:cs="Times New Roman"/>
          <w:i/>
          <w:iCs/>
        </w:rPr>
        <w:t xml:space="preserve"> </w:t>
      </w:r>
      <w:proofErr w:type="spellStart"/>
      <w:r w:rsidRPr="00A50AF5">
        <w:rPr>
          <w:rFonts w:ascii="Times New Roman" w:hAnsi="Times New Roman" w:cs="Times New Roman"/>
          <w:i/>
          <w:iCs/>
        </w:rPr>
        <w:t>Theologie</w:t>
      </w:r>
      <w:proofErr w:type="spellEnd"/>
      <w:r w:rsidRPr="00A50AF5">
        <w:rPr>
          <w:rFonts w:ascii="Times New Roman" w:hAnsi="Times New Roman" w:cs="Times New Roman"/>
        </w:rPr>
        <w:t xml:space="preserve"> 16 (2000): 49.</w:t>
      </w:r>
    </w:p>
    <w:p w14:paraId="2F6B667D" w14:textId="77777777" w:rsidR="0050448A" w:rsidRPr="00A50AF5" w:rsidRDefault="0050448A" w:rsidP="0050448A">
      <w:pPr>
        <w:pStyle w:val="FootnoteText"/>
        <w:rPr>
          <w:rFonts w:ascii="Times New Roman" w:hAnsi="Times New Roman" w:cs="Times New Roman"/>
          <w:lang w:val="en-CA"/>
        </w:rPr>
      </w:pPr>
    </w:p>
  </w:footnote>
  <w:footnote w:id="4">
    <w:p w14:paraId="2F6B667E" w14:textId="77777777" w:rsidR="00093029" w:rsidRPr="00A50AF5" w:rsidRDefault="00093029" w:rsidP="00093029">
      <w:pPr>
        <w:pStyle w:val="FootnoteText"/>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iCs/>
          <w:color w:val="000000" w:themeColor="text1"/>
        </w:rPr>
        <w:fldChar w:fldCharType="begin"/>
      </w:r>
      <w:r w:rsidRPr="00A50AF5">
        <w:rPr>
          <w:rFonts w:ascii="Times New Roman" w:hAnsi="Times New Roman" w:cs="Times New Roman"/>
          <w:iCs/>
          <w:color w:val="000000" w:themeColor="text1"/>
        </w:rPr>
        <w:instrText xml:space="preserve"> ADDIN ZOTERO_ITEM CSL_CITATION {"citationID":"STwRP1cW","properties":{"formattedCitation":"{\\rtf John Webster, {\\i{}Confessing God: Essays in Christian Dogmatics II} (New York: Bloomsbury, 2016), ix.}","plainCitation":"John Webster, Confessing God: Essays in Christian Dogmatics II (New York: Bloomsbury, 2016), ix."},"citationItems":[{"id":3081,"uris":["http://zotero.org/users/2167155/items/JMLZMLGB"],"uri":["http://zotero.org/users/2167155/items/JMLZMLGB"],"itemData":{"id":3081,"type":"book","title":"Confessing God: Essays in Christian Dogmatics II","publisher":"Bloomsbury","publisher-place":"New York","number-of-pages":"211","source":"Google Books","event-place":"New York","abstract":"Put together as a companion volume to his earlier volume, Word and Church, in this book John Webster begins to give voice to a reordered conception of the substance of Christian teaching, at the heart of which lies a discovery of the content and consequences of Christian teaching about God's perfection.Webster gives the readers a worked example of 'theological theology', that is, Christian theology which takes its rise in the Christian confession of the gospel which seeks to hear, celebrate and commend. This classic volume from one of the leading theologians in the world remains an important contribution to the field of systematic theology. For this Cornerstones edition Webster has written a new preface in which he sets the work against the current debate and his own current theology.","ISBN":"978-0-567-65889-0","note":"Google-Books-ID: oZKwCgAAQBAJ","shortTitle":"Confessing God","author":[{"family":"Webster","given":"John"}],"issued":{"date-parts":[["2016",1,28]]}},"locator":"ix"}],"schema":"https://github.com/citation-style-language/schema/raw/master/csl-citation.json"} </w:instrText>
      </w:r>
      <w:r w:rsidRPr="00A50AF5">
        <w:rPr>
          <w:rFonts w:ascii="Times New Roman" w:hAnsi="Times New Roman" w:cs="Times New Roman"/>
          <w:iCs/>
          <w:color w:val="000000" w:themeColor="text1"/>
        </w:rPr>
        <w:fldChar w:fldCharType="separate"/>
      </w:r>
      <w:r w:rsidRPr="00A50AF5">
        <w:rPr>
          <w:rFonts w:ascii="Times New Roman" w:hAnsi="Times New Roman" w:cs="Times New Roman"/>
          <w:color w:val="000000"/>
        </w:rPr>
        <w:t xml:space="preserve">John Webster, </w:t>
      </w:r>
      <w:r w:rsidRPr="00A50AF5">
        <w:rPr>
          <w:rFonts w:ascii="Times New Roman" w:hAnsi="Times New Roman" w:cs="Times New Roman"/>
          <w:i/>
          <w:iCs/>
          <w:color w:val="000000"/>
        </w:rPr>
        <w:t>Confessing God: Essays in Christian Dogmatics II</w:t>
      </w:r>
      <w:r w:rsidRPr="00A50AF5">
        <w:rPr>
          <w:rFonts w:ascii="Times New Roman" w:hAnsi="Times New Roman" w:cs="Times New Roman"/>
          <w:color w:val="000000"/>
        </w:rPr>
        <w:t xml:space="preserve"> (New York: Bloomsbury, 2016), ix.</w:t>
      </w:r>
      <w:r w:rsidRPr="00A50AF5">
        <w:rPr>
          <w:rFonts w:ascii="Times New Roman" w:hAnsi="Times New Roman" w:cs="Times New Roman"/>
          <w:iCs/>
          <w:color w:val="000000" w:themeColor="text1"/>
        </w:rPr>
        <w:fldChar w:fldCharType="end"/>
      </w:r>
    </w:p>
  </w:footnote>
  <w:footnote w:id="5">
    <w:p w14:paraId="2F6B667F" w14:textId="77777777" w:rsidR="00093029" w:rsidRPr="00A50AF5" w:rsidRDefault="00093029" w:rsidP="00093029">
      <w:pPr>
        <w:pStyle w:val="FootnoteText"/>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rPr>
        <w:fldChar w:fldCharType="begin"/>
      </w:r>
      <w:r w:rsidRPr="00A50AF5">
        <w:rPr>
          <w:rFonts w:ascii="Times New Roman" w:hAnsi="Times New Roman" w:cs="Times New Roman"/>
        </w:rPr>
        <w:instrText xml:space="preserve"> ADDIN ZOTERO_ITEM CSL_CITATION {"citationID":"Sx0cvZxN","properties":{"formattedCitation":"{\\rtf John Webster, \\uc0\\u8220{}Resurrection and Scripture,\\uc0\\u8221{} in {\\i{}The Domain of the Word: Scripture and Theological Reason} (London: T&amp;T Clark, 2012), 45.}","plainCitation":"John Webster, “Resurrection and Scripture,” in The Domain of the Word: Scripture and Theological Reason (London: T&amp;T Clark, 2012), 45."},"citationItems":[{"id":3169,"uris":["http://zotero.org/users/2167155/items/8BUCGMXP"],"uri":["http://zotero.org/users/2167155/items/8BUCGMXP"],"itemData":{"id":3169,"type":"chapter","title":"Resurrection and Scripture","container-title":"The Domain of the Word: Scripture and Theological Reason","publisher":"T&amp;T Clark","publisher-place":"London","page":"32-48","event-place":"London","author":[{"family":"Webster","given":"John"}],"issued":{"date-parts":[["2012"]]}},"locator":"45"}],"schema":"https://github.com/citation-style-language/schema/raw/master/csl-citation.json"} </w:instrText>
      </w:r>
      <w:r w:rsidRPr="00A50AF5">
        <w:rPr>
          <w:rFonts w:ascii="Times New Roman" w:hAnsi="Times New Roman" w:cs="Times New Roman"/>
        </w:rPr>
        <w:fldChar w:fldCharType="separate"/>
      </w:r>
      <w:r w:rsidRPr="00A50AF5">
        <w:rPr>
          <w:rFonts w:ascii="Times New Roman" w:hAnsi="Times New Roman" w:cs="Times New Roman"/>
        </w:rPr>
        <w:t xml:space="preserve">John Webster, “Resurrection and Scripture,” in </w:t>
      </w:r>
      <w:r w:rsidRPr="00A50AF5">
        <w:rPr>
          <w:rFonts w:ascii="Times New Roman" w:hAnsi="Times New Roman" w:cs="Times New Roman"/>
          <w:i/>
          <w:iCs/>
        </w:rPr>
        <w:t>The Domain of the Word: Scripture and Theological Reason</w:t>
      </w:r>
      <w:r w:rsidRPr="00A50AF5">
        <w:rPr>
          <w:rFonts w:ascii="Times New Roman" w:hAnsi="Times New Roman" w:cs="Times New Roman"/>
        </w:rPr>
        <w:t xml:space="preserve"> (London: T&amp;T Clark, 2012), 45.</w:t>
      </w:r>
      <w:r w:rsidRPr="00A50AF5">
        <w:rPr>
          <w:rFonts w:ascii="Times New Roman" w:hAnsi="Times New Roman" w:cs="Times New Roman"/>
        </w:rPr>
        <w:fldChar w:fldCharType="end"/>
      </w:r>
    </w:p>
  </w:footnote>
  <w:footnote w:id="6">
    <w:p w14:paraId="2F6B6680" w14:textId="77777777" w:rsidR="00CB5A5C" w:rsidRPr="00A50AF5" w:rsidRDefault="00CB5A5C" w:rsidP="00CB5A5C">
      <w:pPr>
        <w:pStyle w:val="FootnoteText"/>
        <w:rPr>
          <w:rFonts w:ascii="Times New Roman" w:eastAsiaTheme="minorEastAsia"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i/>
        </w:rPr>
        <w:t xml:space="preserve">The Guardian, </w:t>
      </w:r>
      <w:r w:rsidRPr="00A50AF5">
        <w:rPr>
          <w:rFonts w:ascii="Times New Roman" w:hAnsi="Times New Roman" w:cs="Times New Roman"/>
        </w:rPr>
        <w:t>29 May 2017, https://www.theguardian.com/society/2017/may/29/report-reveals-scale-of-food-bank-use-in-the-uk-ifan</w:t>
      </w:r>
    </w:p>
  </w:footnote>
  <w:footnote w:id="7">
    <w:p w14:paraId="2F6B6681" w14:textId="77777777" w:rsidR="00CB5A5C" w:rsidRPr="00A50AF5" w:rsidRDefault="00CB5A5C" w:rsidP="00CB5A5C">
      <w:pPr>
        <w:pStyle w:val="FootnoteText"/>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Andrew Williams, Paul</w:t>
      </w:r>
      <w:r w:rsidR="00A50AF5">
        <w:rPr>
          <w:rFonts w:ascii="Times New Roman" w:hAnsi="Times New Roman" w:cs="Times New Roman"/>
        </w:rPr>
        <w:t xml:space="preserve"> </w:t>
      </w:r>
      <w:proofErr w:type="spellStart"/>
      <w:r w:rsidR="00A50AF5">
        <w:rPr>
          <w:rFonts w:ascii="Times New Roman" w:hAnsi="Times New Roman" w:cs="Times New Roman"/>
        </w:rPr>
        <w:t>Cloke</w:t>
      </w:r>
      <w:proofErr w:type="spellEnd"/>
      <w:r w:rsidR="00A50AF5">
        <w:rPr>
          <w:rFonts w:ascii="Times New Roman" w:hAnsi="Times New Roman" w:cs="Times New Roman"/>
        </w:rPr>
        <w:t>, Jon May, Mark Goodwin, “</w:t>
      </w:r>
      <w:r w:rsidRPr="00A50AF5">
        <w:rPr>
          <w:rFonts w:ascii="Times New Roman" w:hAnsi="Times New Roman" w:cs="Times New Roman"/>
        </w:rPr>
        <w:t>Contested Space: the contradictory political dyn</w:t>
      </w:r>
      <w:r w:rsidR="00A50AF5">
        <w:rPr>
          <w:rFonts w:ascii="Times New Roman" w:hAnsi="Times New Roman" w:cs="Times New Roman"/>
        </w:rPr>
        <w:t>amics of food banking in the UK”</w:t>
      </w:r>
      <w:r w:rsidRPr="00A50AF5">
        <w:rPr>
          <w:rFonts w:ascii="Times New Roman" w:hAnsi="Times New Roman" w:cs="Times New Roman"/>
        </w:rPr>
        <w:t xml:space="preserve">, </w:t>
      </w:r>
      <w:r w:rsidRPr="00A50AF5">
        <w:rPr>
          <w:rFonts w:ascii="Times New Roman" w:hAnsi="Times New Roman" w:cs="Times New Roman"/>
          <w:i/>
        </w:rPr>
        <w:t xml:space="preserve">Environment and Planning, </w:t>
      </w:r>
      <w:r w:rsidRPr="00A50AF5">
        <w:rPr>
          <w:rFonts w:ascii="Times New Roman" w:hAnsi="Times New Roman" w:cs="Times New Roman"/>
        </w:rPr>
        <w:t xml:space="preserve">2016, vol. 48, pp. 2291-2316. </w:t>
      </w:r>
    </w:p>
  </w:footnote>
  <w:footnote w:id="8">
    <w:p w14:paraId="2F6B6682" w14:textId="77777777" w:rsidR="00562CF8" w:rsidRPr="00A50AF5" w:rsidRDefault="00562CF8" w:rsidP="00562CF8">
      <w:pPr>
        <w:pStyle w:val="FootnoteText"/>
        <w:ind w:firstLine="720"/>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rPr>
        <w:fldChar w:fldCharType="begin"/>
      </w:r>
      <w:r w:rsidRPr="00A50AF5">
        <w:rPr>
          <w:rFonts w:ascii="Times New Roman" w:hAnsi="Times New Roman" w:cs="Times New Roman"/>
        </w:rPr>
        <w:instrText xml:space="preserve"> ADDIN ZOTERO_ITEM CSL_CITATION {"citationID":"AT5xI8Tp","properties":{"formattedCitation":"{\\rtf Wendell Berry, {\\i{}The Art of Loading Brush: New Agrarian Writings} (Berkeley, CA: Counterpoint Press, 2017), 5.}","plainCitation":"Wendell Berry, The Art of Loading Brush: New Agrarian Writings (Berkeley, CA: Counterpoint Press, 2017), 5."},"citationItems":[{"id":377,"uris":["http://zotero.org/users/local/2WBSL0lc/items/EFQRHZ7U"],"uri":["http://zotero.org/users/local/2WBSL0lc/items/EFQRHZ7U"],"itemData":{"id":377,"type":"book","title":"The art of loading brush: new agrarian writings","publisher":"Counterpoint Press","publisher-place":"Berkeley, CA","source":"Library of Congress ISBN","event-place":"Berkeley, CA","ISBN":"978-1-61902-038-2","call-number":"S441 .B46 2017","shortTitle":"The art of loading brush","author":[{"family":"Berry","given":"Wendell"}],"issued":{"date-parts":[["2017"]]}},"locator":"5"}],"schema":"https://github.com/citation-style-language/schema/raw/master/csl-citation.json"} </w:instrText>
      </w:r>
      <w:r w:rsidRPr="00A50AF5">
        <w:rPr>
          <w:rFonts w:ascii="Times New Roman" w:hAnsi="Times New Roman" w:cs="Times New Roman"/>
        </w:rPr>
        <w:fldChar w:fldCharType="separate"/>
      </w:r>
      <w:r w:rsidRPr="00A50AF5">
        <w:rPr>
          <w:rFonts w:ascii="Times New Roman" w:hAnsi="Times New Roman" w:cs="Times New Roman"/>
        </w:rPr>
        <w:t xml:space="preserve">Wendell Berry, </w:t>
      </w:r>
      <w:r w:rsidRPr="00A50AF5">
        <w:rPr>
          <w:rFonts w:ascii="Times New Roman" w:hAnsi="Times New Roman" w:cs="Times New Roman"/>
          <w:i/>
          <w:iCs/>
        </w:rPr>
        <w:t>The Art of Loading Brush: New Agrarian Writings</w:t>
      </w:r>
      <w:r w:rsidRPr="00A50AF5">
        <w:rPr>
          <w:rFonts w:ascii="Times New Roman" w:hAnsi="Times New Roman" w:cs="Times New Roman"/>
        </w:rPr>
        <w:t xml:space="preserve"> (Berkeley, CA: Counterpoint Press, 2017), 5.</w:t>
      </w:r>
      <w:r w:rsidRPr="00A50AF5">
        <w:rPr>
          <w:rFonts w:ascii="Times New Roman" w:hAnsi="Times New Roman" w:cs="Times New Roman"/>
        </w:rPr>
        <w:fldChar w:fldCharType="end"/>
      </w:r>
    </w:p>
  </w:footnote>
  <w:footnote w:id="9">
    <w:p w14:paraId="2F6B6683" w14:textId="77777777" w:rsidR="00562CF8" w:rsidRPr="00A50AF5" w:rsidRDefault="00562CF8" w:rsidP="00562CF8">
      <w:pPr>
        <w:pStyle w:val="FootnoteText"/>
        <w:ind w:firstLine="720"/>
        <w:rPr>
          <w:rFonts w:ascii="Times New Roman" w:hAnsi="Times New Roman" w:cs="Times New Roman"/>
        </w:rPr>
      </w:pPr>
      <w:r w:rsidRPr="00A50AF5">
        <w:rPr>
          <w:rStyle w:val="FootnoteReference"/>
          <w:rFonts w:ascii="Times New Roman" w:hAnsi="Times New Roman" w:cs="Times New Roman"/>
        </w:rPr>
        <w:footnoteRef/>
      </w:r>
      <w:r w:rsidRPr="00A50AF5">
        <w:rPr>
          <w:rFonts w:ascii="Times New Roman" w:hAnsi="Times New Roman" w:cs="Times New Roman"/>
        </w:rPr>
        <w:t xml:space="preserve"> </w:t>
      </w:r>
      <w:r w:rsidRPr="00A50AF5">
        <w:rPr>
          <w:rFonts w:ascii="Times New Roman" w:hAnsi="Times New Roman" w:cs="Times New Roman"/>
        </w:rPr>
        <w:fldChar w:fldCharType="begin"/>
      </w:r>
      <w:r w:rsidRPr="00A50AF5">
        <w:rPr>
          <w:rFonts w:ascii="Times New Roman" w:hAnsi="Times New Roman" w:cs="Times New Roman"/>
        </w:rPr>
        <w:instrText xml:space="preserve"> ADDIN ZOTERO_ITEM CSL_CITATION {"citationID":"19kCARVE","properties":{"formattedCitation":"{\\rtf Rowan Williams, {\\i{}The Edge of Words: God and the Habits of Language} (London: Bloomsbury, 2014).}","plainCitation":"Rowan Williams, The Edge of Words: God and the Habits of Language (London: Bloomsbury, 2014)."},"citationItems":[{"id":379,"uris":["http://zotero.org/users/local/2WBSL0lc/items/UMPKZ4I4"],"uri":["http://zotero.org/users/local/2WBSL0lc/items/UMPKZ4I4"],"itemData":{"id":379,"type":"book","title":"The edge of words: God and the habits of language","publisher":"Bloomsbury","publisher-place":"London","number-of-pages":"204","source":"Library of Congress ISBN","event-place":"London","abstract":"The Edge of Words is Rowan Williams' first book since standing down as Archbishop of Canterbury. Invited to give the prestigious 2014 Gifford Lectures, Dr Williams has produced a scholarly but eminently accessible account of the possibilities of speaking about God -- taking as his point of departure the project of natural theology. Dr Williams enters into dialogue with thinkers as diverse as Augustine and Simone Weil and authors such as Joyce, Hardy, Burgess and Hoban in what is a compelling essay about the possibility of language about God --","ISBN":"978-1-4729-1043-1","call-number":"BT103 .W554 2014","note":"OCLC: ocn882185123","shortTitle":"The edge of words","author":[{"family":"Williams","given":"Rowan"}],"issued":{"date-parts":[["2014"]]}}}],"schema":"https://github.com/citation-style-language/schema/raw/master/csl-citation.json"} </w:instrText>
      </w:r>
      <w:r w:rsidRPr="00A50AF5">
        <w:rPr>
          <w:rFonts w:ascii="Times New Roman" w:hAnsi="Times New Roman" w:cs="Times New Roman"/>
        </w:rPr>
        <w:fldChar w:fldCharType="separate"/>
      </w:r>
      <w:r w:rsidRPr="00A50AF5">
        <w:rPr>
          <w:rFonts w:ascii="Times New Roman" w:hAnsi="Times New Roman" w:cs="Times New Roman"/>
        </w:rPr>
        <w:t xml:space="preserve">Rowan Williams, </w:t>
      </w:r>
      <w:r w:rsidRPr="00A50AF5">
        <w:rPr>
          <w:rFonts w:ascii="Times New Roman" w:hAnsi="Times New Roman" w:cs="Times New Roman"/>
          <w:i/>
          <w:iCs/>
        </w:rPr>
        <w:t>The Edge of Words: God and the Habits of Language</w:t>
      </w:r>
      <w:r w:rsidRPr="00A50AF5">
        <w:rPr>
          <w:rFonts w:ascii="Times New Roman" w:hAnsi="Times New Roman" w:cs="Times New Roman"/>
        </w:rPr>
        <w:t xml:space="preserve"> (London: Bloomsbury, 2014).</w:t>
      </w:r>
      <w:r w:rsidRPr="00A50AF5">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36809"/>
      <w:docPartObj>
        <w:docPartGallery w:val="Page Numbers (Top of Page)"/>
        <w:docPartUnique/>
      </w:docPartObj>
    </w:sdtPr>
    <w:sdtEndPr>
      <w:rPr>
        <w:noProof/>
      </w:rPr>
    </w:sdtEndPr>
    <w:sdtContent>
      <w:p w14:paraId="2F6B6678" w14:textId="77777777" w:rsidR="005A3622" w:rsidRDefault="005A362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F6B6679" w14:textId="77777777" w:rsidR="005A3622" w:rsidRDefault="005A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8B"/>
    <w:rsid w:val="00093029"/>
    <w:rsid w:val="00095E6A"/>
    <w:rsid w:val="003E0700"/>
    <w:rsid w:val="00427B8F"/>
    <w:rsid w:val="004E021D"/>
    <w:rsid w:val="0050448A"/>
    <w:rsid w:val="00562CF8"/>
    <w:rsid w:val="005A3622"/>
    <w:rsid w:val="00683DCC"/>
    <w:rsid w:val="0077171F"/>
    <w:rsid w:val="00927CF6"/>
    <w:rsid w:val="00A50AF5"/>
    <w:rsid w:val="00A5788B"/>
    <w:rsid w:val="00B37579"/>
    <w:rsid w:val="00BE5966"/>
    <w:rsid w:val="00CB5A5C"/>
    <w:rsid w:val="00D30F91"/>
    <w:rsid w:val="00E01A0C"/>
    <w:rsid w:val="00E25BF8"/>
    <w:rsid w:val="00E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6613"/>
  <w15:chartTrackingRefBased/>
  <w15:docId w15:val="{2302BC8D-0A15-438A-B8B7-53CCEA73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8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788B"/>
    <w:pPr>
      <w:suppressAutoHyphens/>
      <w:jc w:val="center"/>
    </w:pPr>
    <w:rPr>
      <w:rFonts w:ascii="Calibri" w:eastAsia="SimSun" w:hAnsi="Calibri" w:cs="font687"/>
      <w:b/>
      <w:sz w:val="28"/>
      <w:szCs w:val="28"/>
      <w:lang w:val="en-CA" w:eastAsia="ar-SA"/>
    </w:rPr>
  </w:style>
  <w:style w:type="character" w:customStyle="1" w:styleId="TitleChar">
    <w:name w:val="Title Char"/>
    <w:basedOn w:val="DefaultParagraphFont"/>
    <w:link w:val="Title"/>
    <w:rsid w:val="00A5788B"/>
    <w:rPr>
      <w:rFonts w:ascii="Calibri" w:eastAsia="SimSun" w:hAnsi="Calibri" w:cs="font687"/>
      <w:b/>
      <w:sz w:val="28"/>
      <w:szCs w:val="28"/>
      <w:lang w:val="en-CA" w:eastAsia="ar-SA"/>
    </w:rPr>
  </w:style>
  <w:style w:type="character" w:customStyle="1" w:styleId="unicodefont">
    <w:name w:val="unicodefont"/>
    <w:rsid w:val="00A5788B"/>
  </w:style>
  <w:style w:type="paragraph" w:styleId="NormalWeb">
    <w:name w:val="Normal (Web)"/>
    <w:basedOn w:val="Normal"/>
    <w:uiPriority w:val="99"/>
    <w:unhideWhenUsed/>
    <w:rsid w:val="00A5788B"/>
    <w:rPr>
      <w:rFonts w:eastAsia="Calibri"/>
    </w:rPr>
  </w:style>
  <w:style w:type="paragraph" w:styleId="FootnoteText">
    <w:name w:val="footnote text"/>
    <w:basedOn w:val="Normal"/>
    <w:link w:val="FootnoteTextChar"/>
    <w:uiPriority w:val="99"/>
    <w:semiHidden/>
    <w:unhideWhenUsed/>
    <w:rsid w:val="0009302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93029"/>
    <w:rPr>
      <w:sz w:val="20"/>
      <w:szCs w:val="20"/>
    </w:rPr>
  </w:style>
  <w:style w:type="character" w:styleId="FootnoteReference">
    <w:name w:val="footnote reference"/>
    <w:basedOn w:val="DefaultParagraphFont"/>
    <w:uiPriority w:val="99"/>
    <w:semiHidden/>
    <w:unhideWhenUsed/>
    <w:rsid w:val="00093029"/>
    <w:rPr>
      <w:vertAlign w:val="superscript"/>
    </w:rPr>
  </w:style>
  <w:style w:type="character" w:customStyle="1" w:styleId="primarylightbg">
    <w:name w:val="primarylightbg"/>
    <w:basedOn w:val="DefaultParagraphFont"/>
    <w:rsid w:val="00093029"/>
  </w:style>
  <w:style w:type="paragraph" w:styleId="NoSpacing">
    <w:name w:val="No Spacing"/>
    <w:uiPriority w:val="1"/>
    <w:qFormat/>
    <w:rsid w:val="00093029"/>
    <w:pPr>
      <w:spacing w:after="0" w:line="240" w:lineRule="auto"/>
    </w:pPr>
    <w:rPr>
      <w:rFonts w:ascii="Times New Roman" w:hAnsi="Times New Roman" w:cs="Times New Roman"/>
      <w:sz w:val="24"/>
      <w:szCs w:val="24"/>
    </w:rPr>
  </w:style>
  <w:style w:type="paragraph" w:customStyle="1" w:styleId="Standard">
    <w:name w:val="Standard"/>
    <w:rsid w:val="00093029"/>
    <w:pPr>
      <w:widowControl w:val="0"/>
      <w:suppressAutoHyphens/>
      <w:autoSpaceDN w:val="0"/>
      <w:spacing w:after="0" w:line="240" w:lineRule="auto"/>
    </w:pPr>
    <w:rPr>
      <w:rFonts w:ascii="Times New Roman" w:eastAsia="Arial Unicode MS" w:hAnsi="Times New Roman" w:cs="Arial Unicode MS"/>
      <w:kern w:val="3"/>
      <w:sz w:val="24"/>
      <w:szCs w:val="24"/>
      <w:lang w:val="en-CA" w:eastAsia="zh-CN" w:bidi="hi-IN"/>
    </w:rPr>
  </w:style>
  <w:style w:type="paragraph" w:styleId="Header">
    <w:name w:val="header"/>
    <w:basedOn w:val="Normal"/>
    <w:link w:val="HeaderChar"/>
    <w:uiPriority w:val="99"/>
    <w:unhideWhenUsed/>
    <w:rsid w:val="005A3622"/>
    <w:pPr>
      <w:tabs>
        <w:tab w:val="center" w:pos="4680"/>
        <w:tab w:val="right" w:pos="9360"/>
      </w:tabs>
    </w:pPr>
  </w:style>
  <w:style w:type="character" w:customStyle="1" w:styleId="HeaderChar">
    <w:name w:val="Header Char"/>
    <w:basedOn w:val="DefaultParagraphFont"/>
    <w:link w:val="Header"/>
    <w:uiPriority w:val="99"/>
    <w:rsid w:val="005A3622"/>
    <w:rPr>
      <w:rFonts w:ascii="Times New Roman" w:hAnsi="Times New Roman" w:cs="Times New Roman"/>
      <w:sz w:val="24"/>
      <w:szCs w:val="24"/>
    </w:rPr>
  </w:style>
  <w:style w:type="paragraph" w:styleId="Footer">
    <w:name w:val="footer"/>
    <w:basedOn w:val="Normal"/>
    <w:link w:val="FooterChar"/>
    <w:uiPriority w:val="99"/>
    <w:unhideWhenUsed/>
    <w:rsid w:val="005A3622"/>
    <w:pPr>
      <w:tabs>
        <w:tab w:val="center" w:pos="4680"/>
        <w:tab w:val="right" w:pos="9360"/>
      </w:tabs>
    </w:pPr>
  </w:style>
  <w:style w:type="character" w:customStyle="1" w:styleId="FooterChar">
    <w:name w:val="Footer Char"/>
    <w:basedOn w:val="DefaultParagraphFont"/>
    <w:link w:val="Footer"/>
    <w:uiPriority w:val="99"/>
    <w:rsid w:val="005A36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E6AA-3CBD-4DF6-A510-7AE68C89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Taylor</dc:creator>
  <cp:keywords/>
  <dc:description/>
  <cp:lastModifiedBy>Jamin Hubner</cp:lastModifiedBy>
  <cp:revision>16</cp:revision>
  <dcterms:created xsi:type="dcterms:W3CDTF">2018-03-12T17:46:00Z</dcterms:created>
  <dcterms:modified xsi:type="dcterms:W3CDTF">2018-03-14T23:19:00Z</dcterms:modified>
</cp:coreProperties>
</file>